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170" w:rsidRPr="00D95414" w:rsidRDefault="00012170" w:rsidP="00BD6E16">
      <w:pPr>
        <w:rPr>
          <w:b/>
        </w:rPr>
      </w:pPr>
      <w:r w:rsidRPr="00D95414">
        <w:rPr>
          <w:b/>
        </w:rPr>
        <w:t>Policy Number:</w:t>
      </w:r>
      <w:r w:rsidR="00F85EAF" w:rsidRPr="00D95414">
        <w:rPr>
          <w:b/>
        </w:rPr>
        <w:t xml:space="preserve"> </w:t>
      </w:r>
      <w:r w:rsidR="00FA41A4" w:rsidRPr="00D95414">
        <w:rPr>
          <w:b/>
        </w:rPr>
        <w:t>GME 06</w:t>
      </w:r>
    </w:p>
    <w:p w:rsidR="007D3163" w:rsidRDefault="00012170" w:rsidP="00BD6E16">
      <w:pPr>
        <w:pStyle w:val="NoSpacing"/>
      </w:pPr>
      <w:r w:rsidRPr="00D95414">
        <w:rPr>
          <w:b/>
        </w:rPr>
        <w:t>Policy Title:</w:t>
      </w:r>
      <w:r w:rsidR="00134525" w:rsidRPr="00D95414">
        <w:rPr>
          <w:b/>
        </w:rPr>
        <w:t xml:space="preserve"> </w:t>
      </w:r>
      <w:r w:rsidR="00F95097" w:rsidRPr="00F95097">
        <w:rPr>
          <w:b/>
        </w:rPr>
        <w:t>Substantial Disruptions in patient care or education</w:t>
      </w:r>
      <w:r w:rsidR="00F95097">
        <w:rPr>
          <w:b/>
        </w:rPr>
        <w:t xml:space="preserve"> Policy</w:t>
      </w:r>
    </w:p>
    <w:p w:rsidR="00BD6E16" w:rsidRPr="00BD6E16" w:rsidRDefault="00BD6E16" w:rsidP="00BD6E16">
      <w:pPr>
        <w:pStyle w:val="NoSpacing"/>
        <w:rPr>
          <w:b/>
        </w:rPr>
      </w:pPr>
      <w:r>
        <w:rPr>
          <w:b/>
        </w:rPr>
        <w:t>Policy Statement</w:t>
      </w:r>
      <w:r w:rsidR="00012170">
        <w:rPr>
          <w:b/>
        </w:rPr>
        <w:t>:</w:t>
      </w:r>
    </w:p>
    <w:p w:rsidR="008A4383" w:rsidRDefault="008A4383" w:rsidP="008A4383">
      <w:pPr>
        <w:pStyle w:val="Default"/>
        <w:rPr>
          <w:sz w:val="23"/>
          <w:szCs w:val="23"/>
        </w:rPr>
      </w:pPr>
    </w:p>
    <w:p w:rsidR="008A4383" w:rsidRDefault="008A4383" w:rsidP="008A4383">
      <w:pPr>
        <w:pStyle w:val="Default"/>
        <w:rPr>
          <w:sz w:val="23"/>
          <w:szCs w:val="23"/>
        </w:rPr>
      </w:pPr>
      <w:r>
        <w:rPr>
          <w:sz w:val="23"/>
          <w:szCs w:val="23"/>
        </w:rPr>
        <w:t xml:space="preserve">In the event of a disaster or extraordinary circumstances impacting the graduate medical education programs sponsored by Oregon Health &amp; Science University, the GMEC establishes this policy to protect the well-being, safety and educational experience of residents enrolled in our training programs. The OHSU GMEC will rely on the OHSU plan for Emergency Preparedness for its residents/fellows in the event of a Disaster or Extreme Emergent conditions. This plan has many chapters, including communications and can be found at: </w:t>
      </w:r>
    </w:p>
    <w:p w:rsidR="008A4383" w:rsidRDefault="003740D9" w:rsidP="008A4383">
      <w:pPr>
        <w:pStyle w:val="Default"/>
        <w:rPr>
          <w:sz w:val="23"/>
          <w:szCs w:val="23"/>
        </w:rPr>
      </w:pPr>
      <w:hyperlink r:id="rId7" w:history="1">
        <w:r w:rsidR="008A4383">
          <w:rPr>
            <w:rStyle w:val="Hyperlink"/>
          </w:rPr>
          <w:t>https://o2.ohsu.edu/emergency-management/resources/upload/2017-Emergency-Operations-Plan.pdf</w:t>
        </w:r>
      </w:hyperlink>
    </w:p>
    <w:p w:rsidR="008A4383" w:rsidRDefault="008A4383" w:rsidP="008A4383">
      <w:pPr>
        <w:pStyle w:val="Default"/>
      </w:pPr>
    </w:p>
    <w:p w:rsidR="008A4383" w:rsidRDefault="008A4383" w:rsidP="008A4383">
      <w:pPr>
        <w:pStyle w:val="Default"/>
        <w:rPr>
          <w:sz w:val="23"/>
          <w:szCs w:val="23"/>
        </w:rPr>
      </w:pPr>
      <w:r>
        <w:rPr>
          <w:sz w:val="23"/>
          <w:szCs w:val="23"/>
        </w:rPr>
        <w:t>The definition of a disaster or extraordinary circumstances will be determined by the ACGME as defined in their published policies and procedures (</w:t>
      </w:r>
      <w:hyperlink r:id="rId8" w:history="1">
        <w:r>
          <w:rPr>
            <w:rStyle w:val="Hyperlink"/>
          </w:rPr>
          <w:t>https://www.acgme.org/Portals/0/PDFs/ab_ACGMEPoliciesProcedures.pdf</w:t>
        </w:r>
      </w:hyperlink>
      <w:r>
        <w:t>;)</w:t>
      </w:r>
      <w:r>
        <w:rPr>
          <w:sz w:val="23"/>
          <w:szCs w:val="23"/>
        </w:rPr>
        <w:t xml:space="preserve">. Following declaration of </w:t>
      </w:r>
      <w:r w:rsidR="005F4EB7">
        <w:rPr>
          <w:sz w:val="23"/>
          <w:szCs w:val="23"/>
        </w:rPr>
        <w:t>extraordinary circumstances</w:t>
      </w:r>
      <w:r>
        <w:rPr>
          <w:sz w:val="23"/>
          <w:szCs w:val="23"/>
        </w:rPr>
        <w:t xml:space="preserve">, the GMEC, working with the DIO and other sponsoring institution leadership, will strive to restructure the educational experience. </w:t>
      </w:r>
    </w:p>
    <w:p w:rsidR="008A4383" w:rsidRDefault="008A4383" w:rsidP="008A4383">
      <w:pPr>
        <w:pStyle w:val="Default"/>
        <w:rPr>
          <w:sz w:val="23"/>
          <w:szCs w:val="23"/>
        </w:rPr>
      </w:pPr>
    </w:p>
    <w:p w:rsidR="005F4EB7" w:rsidRDefault="005F4EB7" w:rsidP="008A4383">
      <w:pPr>
        <w:pStyle w:val="Default"/>
        <w:rPr>
          <w:sz w:val="23"/>
          <w:szCs w:val="23"/>
        </w:rPr>
      </w:pPr>
      <w:bookmarkStart w:id="0" w:name="_Hlk116287078"/>
      <w:r w:rsidRPr="005F4EB7">
        <w:rPr>
          <w:sz w:val="23"/>
          <w:szCs w:val="23"/>
        </w:rPr>
        <w:t xml:space="preserve">In the event of a disaster or substantial disruption, continuation of salary, liability coverage and benefits will be dependent on the short- and long-term impact on each program and the institution overall. In addition, it will be dependent on current policies related to reimbursement. However, the University will make a reasonable effort to secure continuing support or reassignment for residents pursuant to this policy and the requirements of ACGME. </w:t>
      </w:r>
      <w:r w:rsidR="00752EA1" w:rsidRPr="00752EA1">
        <w:rPr>
          <w:sz w:val="23"/>
          <w:szCs w:val="23"/>
        </w:rPr>
        <w:t>Professional liability insurance will be provided to residents for claims that arise from their acts that occur within the course and scope of their duties at OHSU,  regardless of when the claim is reported (even if the resident is no longer employed at the time the claim is reported)</w:t>
      </w:r>
      <w:r w:rsidR="00752EA1">
        <w:rPr>
          <w:sz w:val="23"/>
          <w:szCs w:val="23"/>
        </w:rPr>
        <w:t>.</w:t>
      </w:r>
    </w:p>
    <w:bookmarkEnd w:id="0"/>
    <w:p w:rsidR="005F4EB7" w:rsidRDefault="005F4EB7" w:rsidP="008A4383">
      <w:pPr>
        <w:pStyle w:val="Default"/>
        <w:rPr>
          <w:sz w:val="23"/>
          <w:szCs w:val="23"/>
        </w:rPr>
      </w:pPr>
    </w:p>
    <w:p w:rsidR="008A4383" w:rsidRDefault="008A4383" w:rsidP="008A4383">
      <w:pPr>
        <w:pStyle w:val="Default"/>
        <w:rPr>
          <w:sz w:val="23"/>
          <w:szCs w:val="23"/>
        </w:rPr>
      </w:pPr>
      <w:r>
        <w:rPr>
          <w:sz w:val="23"/>
          <w:szCs w:val="23"/>
        </w:rPr>
        <w:t>Each program is encouraged to develop a disaster or extraordinary circumstances plan for the learners.</w:t>
      </w:r>
    </w:p>
    <w:p w:rsidR="008A4383" w:rsidRDefault="008A4383" w:rsidP="008A4383">
      <w:pPr>
        <w:pStyle w:val="Default"/>
        <w:rPr>
          <w:sz w:val="23"/>
          <w:szCs w:val="23"/>
        </w:rPr>
      </w:pPr>
    </w:p>
    <w:p w:rsidR="008A4383" w:rsidRDefault="008A4383" w:rsidP="008A4383">
      <w:pPr>
        <w:pStyle w:val="Default"/>
        <w:rPr>
          <w:sz w:val="23"/>
          <w:szCs w:val="23"/>
        </w:rPr>
      </w:pPr>
      <w:r>
        <w:rPr>
          <w:sz w:val="23"/>
          <w:szCs w:val="23"/>
        </w:rPr>
        <w:t>In order to maximize the likelihood that residents will be able to complete program requirements within the standard time required for certification in that specialty, the DIO and/or GMEC will make the determination that transfers to other programs are necessary and inform the ACGME of that decision within 10 calendar days, and will submit a plan for reconfiguration or transfer to the ACGME within 30 calendar days.</w:t>
      </w:r>
    </w:p>
    <w:p w:rsidR="008A4383" w:rsidRDefault="008A4383" w:rsidP="008A4383">
      <w:pPr>
        <w:pStyle w:val="Default"/>
        <w:rPr>
          <w:sz w:val="23"/>
          <w:szCs w:val="23"/>
        </w:rPr>
      </w:pPr>
    </w:p>
    <w:p w:rsidR="008A4383" w:rsidRDefault="008A4383" w:rsidP="008A4383">
      <w:pPr>
        <w:pStyle w:val="Default"/>
        <w:rPr>
          <w:sz w:val="23"/>
          <w:szCs w:val="23"/>
        </w:rPr>
      </w:pPr>
      <w:r>
        <w:rPr>
          <w:sz w:val="23"/>
          <w:szCs w:val="23"/>
        </w:rPr>
        <w:t xml:space="preserve">Once the DIO and GMEC determine that OHSU can no longer provide an adequate educational experience for its residents, they will to the best of their ability arrange for the </w:t>
      </w:r>
      <w:r>
        <w:rPr>
          <w:b/>
          <w:bCs/>
          <w:sz w:val="23"/>
          <w:szCs w:val="23"/>
        </w:rPr>
        <w:t xml:space="preserve">temporary transfer </w:t>
      </w:r>
      <w:r>
        <w:rPr>
          <w:sz w:val="23"/>
          <w:szCs w:val="23"/>
        </w:rPr>
        <w:t xml:space="preserve">of the residents to programs at other institutions, until such time as OHSU is able to resume providing the experience. Residents who transfer to other programs as a result of a disaster will be provided by their Program Directors an estimated time that the temporary relocation to another program will be necessary. Should that initial time estimate need to be extended, the residents will be notified by their Program Directors using written or electronic means identifying the estimated time of the extension. </w:t>
      </w:r>
    </w:p>
    <w:p w:rsidR="008A4383" w:rsidRDefault="008A4383" w:rsidP="008A4383">
      <w:pPr>
        <w:pStyle w:val="Default"/>
        <w:rPr>
          <w:sz w:val="23"/>
          <w:szCs w:val="23"/>
        </w:rPr>
      </w:pPr>
    </w:p>
    <w:p w:rsidR="008A4383" w:rsidRDefault="008A4383" w:rsidP="008A4383">
      <w:pPr>
        <w:pStyle w:val="Default"/>
        <w:rPr>
          <w:sz w:val="23"/>
          <w:szCs w:val="23"/>
        </w:rPr>
      </w:pPr>
      <w:r>
        <w:rPr>
          <w:sz w:val="23"/>
          <w:szCs w:val="23"/>
        </w:rPr>
        <w:lastRenderedPageBreak/>
        <w:t xml:space="preserve">If the disaster prevents OHSU from re-establishing an adequate educational experience within a reasonable amount of time following the disaster, then </w:t>
      </w:r>
      <w:r>
        <w:rPr>
          <w:b/>
          <w:bCs/>
          <w:sz w:val="23"/>
          <w:szCs w:val="23"/>
        </w:rPr>
        <w:t xml:space="preserve">permanent transfers </w:t>
      </w:r>
      <w:r>
        <w:rPr>
          <w:sz w:val="23"/>
          <w:szCs w:val="23"/>
        </w:rPr>
        <w:t xml:space="preserve">will be arranged. </w:t>
      </w:r>
    </w:p>
    <w:p w:rsidR="008A4383" w:rsidRDefault="008A4383" w:rsidP="008A4383">
      <w:pPr>
        <w:pStyle w:val="Default"/>
        <w:rPr>
          <w:sz w:val="23"/>
          <w:szCs w:val="23"/>
        </w:rPr>
      </w:pPr>
    </w:p>
    <w:p w:rsidR="003740D9" w:rsidRDefault="008A4383" w:rsidP="003740D9">
      <w:pPr>
        <w:pStyle w:val="Default"/>
        <w:rPr>
          <w:sz w:val="23"/>
          <w:szCs w:val="23"/>
        </w:rPr>
      </w:pPr>
      <w:r>
        <w:rPr>
          <w:sz w:val="23"/>
          <w:szCs w:val="23"/>
        </w:rPr>
        <w:t xml:space="preserve">The DIO will be the primary institutional contact with the ACGME and the Institutional Review Committee Executive Director regarding disaster plan implementation and needs within OHSU. </w:t>
      </w:r>
    </w:p>
    <w:p w:rsidR="003740D9" w:rsidRDefault="003740D9" w:rsidP="003740D9">
      <w:pPr>
        <w:pStyle w:val="Default"/>
        <w:rPr>
          <w:sz w:val="23"/>
          <w:szCs w:val="23"/>
        </w:rPr>
      </w:pPr>
    </w:p>
    <w:p w:rsidR="008A4383" w:rsidRDefault="008A4383" w:rsidP="003740D9">
      <w:pPr>
        <w:pStyle w:val="Default"/>
        <w:rPr>
          <w:sz w:val="23"/>
          <w:szCs w:val="23"/>
        </w:rPr>
      </w:pPr>
      <w:r>
        <w:rPr>
          <w:sz w:val="23"/>
          <w:szCs w:val="23"/>
        </w:rPr>
        <w:t xml:space="preserve">Programs will be responsible for establishing procedures to protect the academic and personnel files of all residents from loss or destruction by disaster. This should include at least a plan for storage of data in a separate geographic location away from the sponsoring institution. </w:t>
      </w:r>
    </w:p>
    <w:p w:rsidR="008A4383" w:rsidRDefault="008A4383" w:rsidP="008A4383">
      <w:pPr>
        <w:pStyle w:val="Default"/>
        <w:rPr>
          <w:sz w:val="23"/>
          <w:szCs w:val="23"/>
        </w:rPr>
      </w:pPr>
    </w:p>
    <w:p w:rsidR="008A4383" w:rsidRDefault="008A4383" w:rsidP="008A4383">
      <w:pPr>
        <w:pStyle w:val="Default"/>
        <w:rPr>
          <w:sz w:val="23"/>
          <w:szCs w:val="23"/>
        </w:rPr>
      </w:pPr>
      <w:r>
        <w:rPr>
          <w:sz w:val="23"/>
          <w:szCs w:val="23"/>
        </w:rPr>
        <w:t xml:space="preserve">In the event of a disaster affecting other sponsoring institutions of graduate medical education programs, the program leadership at OHSU will work collaboratively with the DIO and the Fiscal Services Office to accept transfer residents from other institutions. This will include the process to request complement increases with the ACGME that may be required to accept additional residents for training and the transfer of CMS funding from the affected institution to OHSU. OHSU Programs currently under a proposed or actual adverse accreditation decision by the ACGME will not be eligible to participate in accepting transfer residents. </w:t>
      </w:r>
    </w:p>
    <w:p w:rsidR="008A4383" w:rsidRDefault="008A4383" w:rsidP="008A4383">
      <w:pPr>
        <w:rPr>
          <w:sz w:val="23"/>
          <w:szCs w:val="23"/>
        </w:rPr>
      </w:pPr>
    </w:p>
    <w:p w:rsidR="008A4383" w:rsidRDefault="008A4383" w:rsidP="008A4383">
      <w:r w:rsidRPr="00E84A89">
        <w:rPr>
          <w:rFonts w:ascii="Calibri" w:eastAsia="Calibri" w:hAnsi="Calibri" w:cs="Calibri"/>
          <w:b/>
          <w:bCs/>
          <w:u w:val="single"/>
        </w:rPr>
        <w:t>Policy Owner:</w:t>
      </w:r>
      <w:r w:rsidRPr="00E84A89">
        <w:rPr>
          <w:rFonts w:ascii="Calibri" w:eastAsia="Calibri" w:hAnsi="Calibri" w:cs="Calibri"/>
          <w:b/>
          <w:bCs/>
        </w:rPr>
        <w:t xml:space="preserve"> Graduate Medical Education Committee</w:t>
      </w:r>
    </w:p>
    <w:p w:rsidR="008A4383" w:rsidRDefault="008A4383" w:rsidP="008A4383">
      <w:r w:rsidRPr="00E84A89">
        <w:rPr>
          <w:rFonts w:ascii="Calibri" w:eastAsia="Calibri" w:hAnsi="Calibri" w:cs="Calibri"/>
          <w:b/>
          <w:bCs/>
        </w:rPr>
        <w:t xml:space="preserve"> </w:t>
      </w:r>
    </w:p>
    <w:p w:rsidR="008A4383" w:rsidRDefault="008A4383" w:rsidP="008A4383">
      <w:r w:rsidRPr="00E84A89">
        <w:rPr>
          <w:rFonts w:ascii="Calibri" w:eastAsia="Calibri" w:hAnsi="Calibri" w:cs="Calibri"/>
          <w:b/>
          <w:bCs/>
          <w:u w:val="single"/>
        </w:rPr>
        <w:t xml:space="preserve">Amendment/Approving Committee: </w:t>
      </w:r>
      <w:r w:rsidRPr="00E84A89">
        <w:rPr>
          <w:rFonts w:ascii="Calibri" w:eastAsia="Calibri" w:hAnsi="Calibri" w:cs="Calibri"/>
          <w:b/>
          <w:bCs/>
        </w:rPr>
        <w:t xml:space="preserve">Graduate Medical Education Committee </w:t>
      </w:r>
    </w:p>
    <w:p w:rsidR="008A4383" w:rsidRDefault="008A4383" w:rsidP="008A4383">
      <w:r w:rsidRPr="00E84A89">
        <w:rPr>
          <w:rFonts w:ascii="Calibri" w:eastAsia="Calibri" w:hAnsi="Calibri" w:cs="Calibri"/>
        </w:rPr>
        <w:t xml:space="preserve"> </w:t>
      </w:r>
      <w:bookmarkStart w:id="1" w:name="_GoBack"/>
      <w:bookmarkEnd w:id="1"/>
    </w:p>
    <w:p w:rsidR="008A4383" w:rsidRDefault="008A4383" w:rsidP="008A4383">
      <w:r w:rsidRPr="00E84A89">
        <w:rPr>
          <w:rFonts w:ascii="Calibri" w:eastAsia="Calibri" w:hAnsi="Calibri" w:cs="Calibri"/>
          <w:b/>
          <w:bCs/>
        </w:rPr>
        <w:t>Additional Resources</w:t>
      </w:r>
    </w:p>
    <w:tbl>
      <w:tblPr>
        <w:tblStyle w:val="TableGrid"/>
        <w:tblW w:w="0" w:type="auto"/>
        <w:tblLayout w:type="fixed"/>
        <w:tblLook w:val="04A0" w:firstRow="1" w:lastRow="0" w:firstColumn="1" w:lastColumn="0" w:noHBand="0" w:noVBand="1"/>
      </w:tblPr>
      <w:tblGrid>
        <w:gridCol w:w="3120"/>
        <w:gridCol w:w="3120"/>
        <w:gridCol w:w="3120"/>
      </w:tblGrid>
      <w:tr w:rsidR="008A4383" w:rsidTr="00C062BD">
        <w:tc>
          <w:tcPr>
            <w:tcW w:w="3120" w:type="dxa"/>
          </w:tcPr>
          <w:p w:rsidR="008A4383" w:rsidRDefault="008A4383" w:rsidP="00C062BD">
            <w:pPr>
              <w:jc w:val="center"/>
            </w:pPr>
            <w:r w:rsidRPr="00E84A89">
              <w:rPr>
                <w:rFonts w:ascii="Calibri" w:eastAsia="Calibri" w:hAnsi="Calibri" w:cs="Calibri"/>
                <w:b/>
                <w:bCs/>
              </w:rPr>
              <w:t>Form/Document</w:t>
            </w:r>
          </w:p>
        </w:tc>
        <w:tc>
          <w:tcPr>
            <w:tcW w:w="3120" w:type="dxa"/>
          </w:tcPr>
          <w:p w:rsidR="008A4383" w:rsidRDefault="008A4383" w:rsidP="00C062BD">
            <w:pPr>
              <w:jc w:val="center"/>
            </w:pPr>
            <w:r w:rsidRPr="00E84A89">
              <w:rPr>
                <w:rFonts w:ascii="Calibri" w:eastAsia="Calibri" w:hAnsi="Calibri" w:cs="Calibri"/>
                <w:b/>
                <w:bCs/>
              </w:rPr>
              <w:t>Use</w:t>
            </w:r>
          </w:p>
        </w:tc>
        <w:tc>
          <w:tcPr>
            <w:tcW w:w="3120" w:type="dxa"/>
          </w:tcPr>
          <w:p w:rsidR="008A4383" w:rsidRDefault="008A4383" w:rsidP="00C062BD">
            <w:pPr>
              <w:jc w:val="center"/>
            </w:pPr>
            <w:r w:rsidRPr="00E84A89">
              <w:rPr>
                <w:rFonts w:ascii="Calibri" w:eastAsia="Calibri" w:hAnsi="Calibri" w:cs="Calibri"/>
                <w:b/>
                <w:bCs/>
              </w:rPr>
              <w:t>Links</w:t>
            </w:r>
          </w:p>
        </w:tc>
      </w:tr>
      <w:tr w:rsidR="008A4383" w:rsidTr="00C062BD">
        <w:tc>
          <w:tcPr>
            <w:tcW w:w="3120" w:type="dxa"/>
          </w:tcPr>
          <w:p w:rsidR="008A4383" w:rsidRDefault="000B31DB" w:rsidP="00C062BD">
            <w:r>
              <w:rPr>
                <w:rFonts w:ascii="Calibri" w:eastAsia="Calibri" w:hAnsi="Calibri" w:cs="Calibri"/>
              </w:rPr>
              <w:t>OHSU Emergency Operations Document</w:t>
            </w:r>
          </w:p>
        </w:tc>
        <w:tc>
          <w:tcPr>
            <w:tcW w:w="3120" w:type="dxa"/>
          </w:tcPr>
          <w:p w:rsidR="008A4383" w:rsidRDefault="008A4383" w:rsidP="00C062BD">
            <w:r w:rsidRPr="00E84A89">
              <w:rPr>
                <w:rFonts w:ascii="Calibri" w:eastAsia="Calibri" w:hAnsi="Calibri" w:cs="Calibri"/>
              </w:rPr>
              <w:t xml:space="preserve"> </w:t>
            </w:r>
            <w:r w:rsidR="000B31DB">
              <w:rPr>
                <w:rFonts w:ascii="Calibri" w:eastAsia="Calibri" w:hAnsi="Calibri" w:cs="Calibri"/>
              </w:rPr>
              <w:t>Reference</w:t>
            </w:r>
          </w:p>
        </w:tc>
        <w:tc>
          <w:tcPr>
            <w:tcW w:w="3120" w:type="dxa"/>
          </w:tcPr>
          <w:p w:rsidR="008A4383" w:rsidRPr="000B31DB" w:rsidRDefault="003740D9" w:rsidP="000B31DB">
            <w:pPr>
              <w:pStyle w:val="Default"/>
              <w:rPr>
                <w:sz w:val="23"/>
                <w:szCs w:val="23"/>
              </w:rPr>
            </w:pPr>
            <w:hyperlink r:id="rId9" w:history="1">
              <w:r w:rsidR="000B31DB">
                <w:rPr>
                  <w:rStyle w:val="Hyperlink"/>
                </w:rPr>
                <w:t>https://o2.ohsu.edu/emergency-management/resources/upload/2017-Emergency-Operations-Plan.pdf</w:t>
              </w:r>
            </w:hyperlink>
          </w:p>
        </w:tc>
      </w:tr>
      <w:tr w:rsidR="008A4383" w:rsidTr="00C062BD">
        <w:tc>
          <w:tcPr>
            <w:tcW w:w="3120" w:type="dxa"/>
          </w:tcPr>
          <w:p w:rsidR="008A4383" w:rsidRDefault="008A4383" w:rsidP="00C062BD">
            <w:r w:rsidRPr="00E84A89">
              <w:rPr>
                <w:rFonts w:ascii="Calibri" w:eastAsia="Calibri" w:hAnsi="Calibri" w:cs="Calibri"/>
              </w:rPr>
              <w:t xml:space="preserve"> </w:t>
            </w:r>
            <w:r w:rsidR="000B31DB">
              <w:rPr>
                <w:rFonts w:ascii="Calibri" w:eastAsia="Calibri" w:hAnsi="Calibri" w:cs="Calibri"/>
              </w:rPr>
              <w:t>ACGME Policies and Procedures</w:t>
            </w:r>
          </w:p>
        </w:tc>
        <w:tc>
          <w:tcPr>
            <w:tcW w:w="3120" w:type="dxa"/>
          </w:tcPr>
          <w:p w:rsidR="008A4383" w:rsidRDefault="008A4383" w:rsidP="00C062BD">
            <w:r w:rsidRPr="00E84A89">
              <w:rPr>
                <w:rFonts w:ascii="Calibri" w:eastAsia="Calibri" w:hAnsi="Calibri" w:cs="Calibri"/>
              </w:rPr>
              <w:t xml:space="preserve"> </w:t>
            </w:r>
            <w:r w:rsidR="000B31DB">
              <w:rPr>
                <w:rFonts w:ascii="Calibri" w:eastAsia="Calibri" w:hAnsi="Calibri" w:cs="Calibri"/>
              </w:rPr>
              <w:t>Reference</w:t>
            </w:r>
          </w:p>
        </w:tc>
        <w:tc>
          <w:tcPr>
            <w:tcW w:w="3120" w:type="dxa"/>
          </w:tcPr>
          <w:p w:rsidR="008A4383" w:rsidRDefault="003740D9" w:rsidP="00C062BD">
            <w:hyperlink r:id="rId10" w:history="1">
              <w:r w:rsidR="000B31DB" w:rsidRPr="004B7E2D">
                <w:rPr>
                  <w:rStyle w:val="Hyperlink"/>
                </w:rPr>
                <w:t>https://www.acgme.org/Portals/0/PDFs/ab_ACGMEPoliciesProcedures.pdf</w:t>
              </w:r>
            </w:hyperlink>
          </w:p>
        </w:tc>
      </w:tr>
      <w:tr w:rsidR="008A4383" w:rsidTr="00C062BD">
        <w:tc>
          <w:tcPr>
            <w:tcW w:w="3120" w:type="dxa"/>
          </w:tcPr>
          <w:p w:rsidR="008A4383" w:rsidRDefault="008A4383" w:rsidP="00C062BD">
            <w:r w:rsidRPr="00E84A89">
              <w:rPr>
                <w:rFonts w:ascii="Calibri" w:eastAsia="Calibri" w:hAnsi="Calibri" w:cs="Calibri"/>
              </w:rPr>
              <w:t xml:space="preserve"> </w:t>
            </w:r>
          </w:p>
        </w:tc>
        <w:tc>
          <w:tcPr>
            <w:tcW w:w="3120" w:type="dxa"/>
          </w:tcPr>
          <w:p w:rsidR="008A4383" w:rsidRDefault="008A4383" w:rsidP="00C062BD">
            <w:r w:rsidRPr="00E84A89">
              <w:rPr>
                <w:rFonts w:ascii="Calibri" w:eastAsia="Calibri" w:hAnsi="Calibri" w:cs="Calibri"/>
              </w:rPr>
              <w:t xml:space="preserve"> </w:t>
            </w:r>
          </w:p>
        </w:tc>
        <w:tc>
          <w:tcPr>
            <w:tcW w:w="3120" w:type="dxa"/>
          </w:tcPr>
          <w:p w:rsidR="008A4383" w:rsidRDefault="008A4383" w:rsidP="00C062BD">
            <w:r w:rsidRPr="00E84A89">
              <w:rPr>
                <w:rFonts w:ascii="Calibri" w:eastAsia="Calibri" w:hAnsi="Calibri" w:cs="Calibri"/>
              </w:rPr>
              <w:t xml:space="preserve"> </w:t>
            </w:r>
          </w:p>
        </w:tc>
      </w:tr>
    </w:tbl>
    <w:p w:rsidR="008A4383" w:rsidRDefault="008A4383" w:rsidP="008A4383">
      <w:r w:rsidRPr="00E84A89">
        <w:rPr>
          <w:rFonts w:ascii="Calibri" w:eastAsia="Calibri" w:hAnsi="Calibri" w:cs="Calibri"/>
          <w:b/>
          <w:bCs/>
        </w:rPr>
        <w:t xml:space="preserve"> </w:t>
      </w:r>
    </w:p>
    <w:p w:rsidR="008A4383" w:rsidRDefault="008A4383" w:rsidP="008A4383">
      <w:r w:rsidRPr="00E84A89">
        <w:rPr>
          <w:rFonts w:ascii="Calibri" w:eastAsia="Calibri" w:hAnsi="Calibri" w:cs="Calibri"/>
          <w:b/>
          <w:bCs/>
        </w:rPr>
        <w:t>Version control</w:t>
      </w:r>
    </w:p>
    <w:tbl>
      <w:tblPr>
        <w:tblStyle w:val="TableGrid"/>
        <w:tblW w:w="0" w:type="auto"/>
        <w:tblLayout w:type="fixed"/>
        <w:tblLook w:val="04A0" w:firstRow="1" w:lastRow="0" w:firstColumn="1" w:lastColumn="0" w:noHBand="0" w:noVBand="1"/>
      </w:tblPr>
      <w:tblGrid>
        <w:gridCol w:w="2340"/>
        <w:gridCol w:w="2340"/>
        <w:gridCol w:w="2340"/>
        <w:gridCol w:w="2340"/>
      </w:tblGrid>
      <w:tr w:rsidR="008A4383" w:rsidTr="00C062BD">
        <w:tc>
          <w:tcPr>
            <w:tcW w:w="2340" w:type="dxa"/>
          </w:tcPr>
          <w:p w:rsidR="008A4383" w:rsidRDefault="008A4383" w:rsidP="00C062BD">
            <w:pPr>
              <w:jc w:val="center"/>
            </w:pPr>
            <w:r w:rsidRPr="00E84A89">
              <w:rPr>
                <w:rFonts w:ascii="Calibri" w:eastAsia="Calibri" w:hAnsi="Calibri" w:cs="Calibri"/>
                <w:b/>
                <w:bCs/>
              </w:rPr>
              <w:t>Version</w:t>
            </w:r>
          </w:p>
        </w:tc>
        <w:tc>
          <w:tcPr>
            <w:tcW w:w="2340" w:type="dxa"/>
          </w:tcPr>
          <w:p w:rsidR="008A4383" w:rsidRDefault="008A4383" w:rsidP="00C062BD">
            <w:pPr>
              <w:jc w:val="center"/>
            </w:pPr>
            <w:r w:rsidRPr="00E84A89">
              <w:rPr>
                <w:rFonts w:ascii="Calibri" w:eastAsia="Calibri" w:hAnsi="Calibri" w:cs="Calibri"/>
                <w:b/>
                <w:bCs/>
              </w:rPr>
              <w:t>Effective Date</w:t>
            </w:r>
          </w:p>
        </w:tc>
        <w:tc>
          <w:tcPr>
            <w:tcW w:w="2340" w:type="dxa"/>
          </w:tcPr>
          <w:p w:rsidR="008A4383" w:rsidRDefault="008A4383" w:rsidP="00C062BD">
            <w:pPr>
              <w:jc w:val="center"/>
            </w:pPr>
            <w:r w:rsidRPr="00E84A89">
              <w:rPr>
                <w:rFonts w:ascii="Calibri" w:eastAsia="Calibri" w:hAnsi="Calibri" w:cs="Calibri"/>
                <w:b/>
                <w:bCs/>
              </w:rPr>
              <w:t>Author</w:t>
            </w:r>
          </w:p>
        </w:tc>
        <w:tc>
          <w:tcPr>
            <w:tcW w:w="2340" w:type="dxa"/>
          </w:tcPr>
          <w:p w:rsidR="008A4383" w:rsidRDefault="008A4383" w:rsidP="00C062BD">
            <w:pPr>
              <w:jc w:val="center"/>
            </w:pPr>
            <w:r w:rsidRPr="00E84A89">
              <w:rPr>
                <w:rFonts w:ascii="Calibri" w:eastAsia="Calibri" w:hAnsi="Calibri" w:cs="Calibri"/>
                <w:b/>
                <w:bCs/>
              </w:rPr>
              <w:t>Description of Change</w:t>
            </w:r>
          </w:p>
        </w:tc>
      </w:tr>
      <w:tr w:rsidR="008A4383" w:rsidTr="00C062BD">
        <w:tc>
          <w:tcPr>
            <w:tcW w:w="2340" w:type="dxa"/>
          </w:tcPr>
          <w:p w:rsidR="008A4383" w:rsidRDefault="008A4383" w:rsidP="00C062BD">
            <w:r w:rsidRPr="00E84A89">
              <w:rPr>
                <w:rFonts w:ascii="Calibri" w:eastAsia="Calibri" w:hAnsi="Calibri" w:cs="Calibri"/>
              </w:rPr>
              <w:t>1</w:t>
            </w:r>
          </w:p>
        </w:tc>
        <w:tc>
          <w:tcPr>
            <w:tcW w:w="2340" w:type="dxa"/>
          </w:tcPr>
          <w:p w:rsidR="008A4383" w:rsidRDefault="008A4383" w:rsidP="00C062BD">
            <w:r w:rsidRPr="00E84A89">
              <w:rPr>
                <w:rFonts w:ascii="Calibri" w:eastAsia="Calibri" w:hAnsi="Calibri" w:cs="Calibri"/>
              </w:rPr>
              <w:t>August 20, 2015</w:t>
            </w:r>
          </w:p>
        </w:tc>
        <w:tc>
          <w:tcPr>
            <w:tcW w:w="2340" w:type="dxa"/>
          </w:tcPr>
          <w:p w:rsidR="008A4383" w:rsidRDefault="008A4383" w:rsidP="00C062BD">
            <w:r w:rsidRPr="00E84A89">
              <w:rPr>
                <w:rFonts w:ascii="Calibri" w:eastAsia="Calibri" w:hAnsi="Calibri" w:cs="Calibri"/>
              </w:rPr>
              <w:t xml:space="preserve"> GMEC</w:t>
            </w:r>
          </w:p>
        </w:tc>
        <w:tc>
          <w:tcPr>
            <w:tcW w:w="2340" w:type="dxa"/>
          </w:tcPr>
          <w:p w:rsidR="008A4383" w:rsidRDefault="008A4383" w:rsidP="00C062BD">
            <w:r w:rsidRPr="00E84A89">
              <w:rPr>
                <w:rFonts w:ascii="Calibri" w:eastAsia="Calibri" w:hAnsi="Calibri" w:cs="Calibri"/>
              </w:rPr>
              <w:t>Original</w:t>
            </w:r>
          </w:p>
        </w:tc>
      </w:tr>
      <w:tr w:rsidR="008A4383" w:rsidTr="00C062BD">
        <w:tc>
          <w:tcPr>
            <w:tcW w:w="2340" w:type="dxa"/>
          </w:tcPr>
          <w:p w:rsidR="008A4383" w:rsidRDefault="008A4383" w:rsidP="00C062BD">
            <w:r w:rsidRPr="00E84A89">
              <w:rPr>
                <w:rFonts w:ascii="Calibri" w:eastAsia="Calibri" w:hAnsi="Calibri" w:cs="Calibri"/>
              </w:rPr>
              <w:t>2</w:t>
            </w:r>
          </w:p>
        </w:tc>
        <w:tc>
          <w:tcPr>
            <w:tcW w:w="2340" w:type="dxa"/>
          </w:tcPr>
          <w:p w:rsidR="008A4383" w:rsidRDefault="008A4383" w:rsidP="00C062BD">
            <w:r w:rsidRPr="00E84A89">
              <w:rPr>
                <w:rFonts w:ascii="Calibri" w:eastAsia="Calibri" w:hAnsi="Calibri" w:cs="Calibri"/>
              </w:rPr>
              <w:t>October 17, 2019</w:t>
            </w:r>
          </w:p>
        </w:tc>
        <w:tc>
          <w:tcPr>
            <w:tcW w:w="2340" w:type="dxa"/>
          </w:tcPr>
          <w:p w:rsidR="008A4383" w:rsidRDefault="008A4383" w:rsidP="00C062BD">
            <w:r w:rsidRPr="00E84A89">
              <w:rPr>
                <w:rFonts w:ascii="Calibri" w:eastAsia="Calibri" w:hAnsi="Calibri" w:cs="Calibri"/>
              </w:rPr>
              <w:t xml:space="preserve"> GMEC</w:t>
            </w:r>
          </w:p>
        </w:tc>
        <w:tc>
          <w:tcPr>
            <w:tcW w:w="2340" w:type="dxa"/>
          </w:tcPr>
          <w:p w:rsidR="008A4383" w:rsidRDefault="008A4383" w:rsidP="00C062BD">
            <w:r w:rsidRPr="00E84A89">
              <w:rPr>
                <w:rFonts w:ascii="Calibri" w:eastAsia="Calibri" w:hAnsi="Calibri" w:cs="Calibri"/>
              </w:rPr>
              <w:t>Revision</w:t>
            </w:r>
          </w:p>
        </w:tc>
      </w:tr>
      <w:tr w:rsidR="00EF41E8" w:rsidTr="00C062BD">
        <w:tc>
          <w:tcPr>
            <w:tcW w:w="2340" w:type="dxa"/>
          </w:tcPr>
          <w:p w:rsidR="00EF41E8" w:rsidRPr="00E84A89" w:rsidRDefault="00EF41E8" w:rsidP="00C062BD">
            <w:pPr>
              <w:rPr>
                <w:rFonts w:ascii="Calibri" w:eastAsia="Calibri" w:hAnsi="Calibri" w:cs="Calibri"/>
              </w:rPr>
            </w:pPr>
            <w:r>
              <w:rPr>
                <w:rFonts w:ascii="Calibri" w:eastAsia="Calibri" w:hAnsi="Calibri" w:cs="Calibri"/>
              </w:rPr>
              <w:t>3</w:t>
            </w:r>
          </w:p>
        </w:tc>
        <w:tc>
          <w:tcPr>
            <w:tcW w:w="2340" w:type="dxa"/>
          </w:tcPr>
          <w:p w:rsidR="00EF41E8" w:rsidRPr="00E84A89" w:rsidRDefault="00EF41E8" w:rsidP="00C062BD">
            <w:pPr>
              <w:rPr>
                <w:rFonts w:ascii="Calibri" w:eastAsia="Calibri" w:hAnsi="Calibri" w:cs="Calibri"/>
              </w:rPr>
            </w:pPr>
            <w:r>
              <w:rPr>
                <w:rFonts w:ascii="Calibri" w:eastAsia="Calibri" w:hAnsi="Calibri" w:cs="Calibri"/>
              </w:rPr>
              <w:t xml:space="preserve">October </w:t>
            </w:r>
            <w:r w:rsidR="00795CF4">
              <w:rPr>
                <w:rFonts w:ascii="Calibri" w:eastAsia="Calibri" w:hAnsi="Calibri" w:cs="Calibri"/>
              </w:rPr>
              <w:t>12</w:t>
            </w:r>
            <w:r>
              <w:rPr>
                <w:rFonts w:ascii="Calibri" w:eastAsia="Calibri" w:hAnsi="Calibri" w:cs="Calibri"/>
              </w:rPr>
              <w:t xml:space="preserve"> 2022</w:t>
            </w:r>
          </w:p>
        </w:tc>
        <w:tc>
          <w:tcPr>
            <w:tcW w:w="2340" w:type="dxa"/>
          </w:tcPr>
          <w:p w:rsidR="00EF41E8" w:rsidRPr="00E84A89" w:rsidRDefault="00EF41E8" w:rsidP="00C062BD">
            <w:pPr>
              <w:rPr>
                <w:rFonts w:ascii="Calibri" w:eastAsia="Calibri" w:hAnsi="Calibri" w:cs="Calibri"/>
              </w:rPr>
            </w:pPr>
            <w:r>
              <w:rPr>
                <w:rFonts w:ascii="Calibri" w:eastAsia="Calibri" w:hAnsi="Calibri" w:cs="Calibri"/>
              </w:rPr>
              <w:t>GMEC</w:t>
            </w:r>
          </w:p>
        </w:tc>
        <w:tc>
          <w:tcPr>
            <w:tcW w:w="2340" w:type="dxa"/>
          </w:tcPr>
          <w:p w:rsidR="00EF41E8" w:rsidRPr="00E84A89" w:rsidRDefault="00795CF4" w:rsidP="00C062BD">
            <w:pPr>
              <w:rPr>
                <w:rFonts w:ascii="Calibri" w:eastAsia="Calibri" w:hAnsi="Calibri" w:cs="Calibri"/>
              </w:rPr>
            </w:pPr>
            <w:r>
              <w:rPr>
                <w:rFonts w:ascii="Calibri" w:eastAsia="Calibri" w:hAnsi="Calibri" w:cs="Calibri"/>
              </w:rPr>
              <w:t>Revision to align with ACGME IR</w:t>
            </w:r>
          </w:p>
        </w:tc>
      </w:tr>
    </w:tbl>
    <w:p w:rsidR="008A4383" w:rsidRPr="00E84A89" w:rsidRDefault="008A4383" w:rsidP="008A4383">
      <w:pPr>
        <w:rPr>
          <w:sz w:val="23"/>
          <w:szCs w:val="23"/>
        </w:rPr>
      </w:pPr>
    </w:p>
    <w:p w:rsidR="008E37BF" w:rsidRPr="008923C2" w:rsidRDefault="008E37BF" w:rsidP="008A4383">
      <w:pPr>
        <w:pStyle w:val="NoSpacing"/>
        <w:rPr>
          <w:b/>
        </w:rPr>
      </w:pPr>
    </w:p>
    <w:sectPr w:rsidR="008E37BF" w:rsidRPr="008923C2" w:rsidSect="003740D9">
      <w:headerReference w:type="default" r:id="rId11"/>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D1E" w:rsidRDefault="009E5D1E" w:rsidP="00232532">
      <w:pPr>
        <w:spacing w:after="0" w:line="240" w:lineRule="auto"/>
      </w:pPr>
      <w:r>
        <w:separator/>
      </w:r>
    </w:p>
  </w:endnote>
  <w:endnote w:type="continuationSeparator" w:id="0">
    <w:p w:rsidR="009E5D1E" w:rsidRDefault="009E5D1E" w:rsidP="00232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Times New Roman"/>
    <w:charset w:val="00"/>
    <w:family w:val="auto"/>
    <w:pitch w:val="variable"/>
    <w:sig w:usb0="00000001" w:usb1="00000001" w:usb2="00000000" w:usb3="00000000" w:csb0="0000019F" w:csb1="00000000"/>
  </w:font>
  <w:font w:name="Noto Serif">
    <w:panose1 w:val="02020600060500020200"/>
    <w:charset w:val="00"/>
    <w:family w:val="roman"/>
    <w:pitch w:val="variable"/>
    <w:sig w:usb0="E00002FF" w:usb1="500078FF" w:usb2="0000002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D1E" w:rsidRDefault="009E5D1E" w:rsidP="00232532">
      <w:pPr>
        <w:spacing w:after="0" w:line="240" w:lineRule="auto"/>
      </w:pPr>
      <w:r>
        <w:separator/>
      </w:r>
    </w:p>
  </w:footnote>
  <w:footnote w:type="continuationSeparator" w:id="0">
    <w:p w:rsidR="009E5D1E" w:rsidRDefault="009E5D1E" w:rsidP="00232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532" w:rsidRDefault="00232532">
    <w:pPr>
      <w:pStyle w:val="Header"/>
    </w:pPr>
  </w:p>
  <w:p w:rsidR="00B37282" w:rsidRPr="00B37282" w:rsidRDefault="00012170" w:rsidP="00B37282">
    <w:pPr>
      <w:pStyle w:val="CM3"/>
      <w:spacing w:after="0"/>
      <w:jc w:val="center"/>
      <w:rPr>
        <w:sz w:val="18"/>
        <w:szCs w:val="18"/>
      </w:rPr>
    </w:pPr>
    <w:r w:rsidRPr="00012170">
      <w:rPr>
        <w:rFonts w:ascii="Noto Serif" w:hAnsi="Noto Serif"/>
        <w:b/>
        <w:noProof/>
        <w:color w:val="141313"/>
        <w:sz w:val="20"/>
        <w:szCs w:val="20"/>
      </w:rPr>
      <w:drawing>
        <wp:anchor distT="0" distB="0" distL="114300" distR="114300" simplePos="0" relativeHeight="251657216" behindDoc="0" locked="1" layoutInCell="1" allowOverlap="0" wp14:anchorId="7CEC6E3C" wp14:editId="154E00BE">
          <wp:simplePos x="0" y="0"/>
          <wp:positionH relativeFrom="column">
            <wp:posOffset>19050</wp:posOffset>
          </wp:positionH>
          <wp:positionV relativeFrom="paragraph">
            <wp:posOffset>-513715</wp:posOffset>
          </wp:positionV>
          <wp:extent cx="419100" cy="71691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SU-4C-POS.eps"/>
                  <pic:cNvPicPr/>
                </pic:nvPicPr>
                <pic:blipFill>
                  <a:blip r:embed="rId1">
                    <a:extLst>
                      <a:ext uri="{28A0092B-C50C-407E-A947-70E740481C1C}">
                        <a14:useLocalDpi xmlns:a14="http://schemas.microsoft.com/office/drawing/2010/main" val="0"/>
                      </a:ext>
                    </a:extLst>
                  </a:blip>
                  <a:stretch>
                    <a:fillRect/>
                  </a:stretch>
                </pic:blipFill>
                <pic:spPr>
                  <a:xfrm>
                    <a:off x="0" y="0"/>
                    <a:ext cx="419100" cy="716915"/>
                  </a:xfrm>
                  <a:prstGeom prst="rect">
                    <a:avLst/>
                  </a:prstGeom>
                </pic:spPr>
              </pic:pic>
            </a:graphicData>
          </a:graphic>
          <wp14:sizeRelH relativeFrom="page">
            <wp14:pctWidth>0</wp14:pctWidth>
          </wp14:sizeRelH>
          <wp14:sizeRelV relativeFrom="page">
            <wp14:pctHeight>0</wp14:pctHeight>
          </wp14:sizeRelV>
        </wp:anchor>
      </w:drawing>
    </w:r>
    <w:r w:rsidRPr="00012170">
      <w:rPr>
        <w:b/>
        <w:sz w:val="21"/>
        <w:szCs w:val="21"/>
      </w:rPr>
      <w:t>School of Medicine Polic</w:t>
    </w:r>
    <w:r w:rsidR="00B37282">
      <w:rPr>
        <w:b/>
        <w:sz w:val="21"/>
        <w:szCs w:val="21"/>
      </w:rPr>
      <w:t>y</w:t>
    </w:r>
  </w:p>
  <w:p w:rsidR="00FA41A4" w:rsidRPr="00FA41A4" w:rsidRDefault="00B37282" w:rsidP="00FA41A4">
    <w:pPr>
      <w:pStyle w:val="CM3"/>
      <w:spacing w:after="0"/>
      <w:jc w:val="right"/>
      <w:rPr>
        <w:sz w:val="18"/>
        <w:szCs w:val="18"/>
      </w:rPr>
    </w:pPr>
    <w:r w:rsidRPr="00B37282">
      <w:rPr>
        <w:sz w:val="18"/>
        <w:szCs w:val="18"/>
      </w:rPr>
      <w:t>Policy Number:</w:t>
    </w:r>
    <w:r w:rsidR="003A7964">
      <w:rPr>
        <w:sz w:val="18"/>
        <w:szCs w:val="18"/>
      </w:rPr>
      <w:t xml:space="preserve"> GME 0</w:t>
    </w:r>
    <w:r w:rsidR="00FA41A4">
      <w:rPr>
        <w:sz w:val="18"/>
        <w:szCs w:val="18"/>
      </w:rPr>
      <w:t>6</w:t>
    </w:r>
  </w:p>
  <w:p w:rsidR="007D3163" w:rsidRPr="007D3163" w:rsidRDefault="00B37282" w:rsidP="007D3163">
    <w:pPr>
      <w:pStyle w:val="CM3"/>
      <w:spacing w:after="0"/>
      <w:jc w:val="right"/>
      <w:rPr>
        <w:sz w:val="18"/>
        <w:szCs w:val="18"/>
      </w:rPr>
    </w:pPr>
    <w:r w:rsidRPr="00B37282">
      <w:rPr>
        <w:sz w:val="18"/>
        <w:szCs w:val="18"/>
      </w:rPr>
      <w:t>Effective Date:</w:t>
    </w:r>
    <w:r w:rsidR="00134525">
      <w:rPr>
        <w:sz w:val="18"/>
        <w:szCs w:val="18"/>
      </w:rPr>
      <w:t xml:space="preserve"> </w:t>
    </w:r>
    <w:r w:rsidR="008A4383">
      <w:rPr>
        <w:sz w:val="18"/>
        <w:szCs w:val="18"/>
      </w:rPr>
      <w:t xml:space="preserve">October </w:t>
    </w:r>
    <w:r w:rsidR="00795CF4">
      <w:rPr>
        <w:sz w:val="18"/>
        <w:szCs w:val="18"/>
      </w:rPr>
      <w:t>12</w:t>
    </w:r>
    <w:r w:rsidR="007D3163">
      <w:rPr>
        <w:sz w:val="18"/>
        <w:szCs w:val="18"/>
      </w:rPr>
      <w:t>, 20</w:t>
    </w:r>
    <w:r w:rsidR="00EF41E8">
      <w:rPr>
        <w:sz w:val="18"/>
        <w:szCs w:val="18"/>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73B29"/>
    <w:multiLevelType w:val="hybridMultilevel"/>
    <w:tmpl w:val="85F4568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1437481F"/>
    <w:multiLevelType w:val="hybridMultilevel"/>
    <w:tmpl w:val="10AC03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CF4574"/>
    <w:multiLevelType w:val="hybridMultilevel"/>
    <w:tmpl w:val="5B2646EC"/>
    <w:lvl w:ilvl="0" w:tplc="0409000F">
      <w:start w:val="1"/>
      <w:numFmt w:val="decimal"/>
      <w:lvlText w:val="%1."/>
      <w:lvlJc w:val="left"/>
      <w:pPr>
        <w:ind w:left="720" w:hanging="360"/>
      </w:pPr>
      <w:rPr>
        <w:rFonts w:hint="default"/>
      </w:rPr>
    </w:lvl>
    <w:lvl w:ilvl="1" w:tplc="450060A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B72E9"/>
    <w:multiLevelType w:val="hybridMultilevel"/>
    <w:tmpl w:val="6E4E3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FE7EDF"/>
    <w:multiLevelType w:val="hybridMultilevel"/>
    <w:tmpl w:val="2E946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EF5D99"/>
    <w:multiLevelType w:val="hybridMultilevel"/>
    <w:tmpl w:val="8634093E"/>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C00C8A"/>
    <w:multiLevelType w:val="hybridMultilevel"/>
    <w:tmpl w:val="974A8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BB73A2F"/>
    <w:multiLevelType w:val="hybridMultilevel"/>
    <w:tmpl w:val="11788538"/>
    <w:lvl w:ilvl="0" w:tplc="E26607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9B203B"/>
    <w:multiLevelType w:val="hybridMultilevel"/>
    <w:tmpl w:val="6C7A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924853"/>
    <w:multiLevelType w:val="hybridMultilevel"/>
    <w:tmpl w:val="7BA02104"/>
    <w:lvl w:ilvl="0" w:tplc="E26607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A8138F"/>
    <w:multiLevelType w:val="hybridMultilevel"/>
    <w:tmpl w:val="F5F42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6D4ECE"/>
    <w:multiLevelType w:val="hybridMultilevel"/>
    <w:tmpl w:val="0D083092"/>
    <w:lvl w:ilvl="0" w:tplc="E26607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3"/>
  </w:num>
  <w:num w:numId="5">
    <w:abstractNumId w:val="10"/>
  </w:num>
  <w:num w:numId="6">
    <w:abstractNumId w:val="1"/>
  </w:num>
  <w:num w:numId="7">
    <w:abstractNumId w:val="2"/>
  </w:num>
  <w:num w:numId="8">
    <w:abstractNumId w:val="5"/>
  </w:num>
  <w:num w:numId="9">
    <w:abstractNumId w:val="4"/>
  </w:num>
  <w:num w:numId="10">
    <w:abstractNumId w:val="7"/>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532"/>
    <w:rsid w:val="00004425"/>
    <w:rsid w:val="00005FFF"/>
    <w:rsid w:val="00012170"/>
    <w:rsid w:val="00042409"/>
    <w:rsid w:val="00042C60"/>
    <w:rsid w:val="000B31DB"/>
    <w:rsid w:val="00134525"/>
    <w:rsid w:val="00232532"/>
    <w:rsid w:val="00243184"/>
    <w:rsid w:val="00287EBE"/>
    <w:rsid w:val="002B3DB9"/>
    <w:rsid w:val="00333105"/>
    <w:rsid w:val="00340681"/>
    <w:rsid w:val="003740D9"/>
    <w:rsid w:val="003A7964"/>
    <w:rsid w:val="00461030"/>
    <w:rsid w:val="004752C5"/>
    <w:rsid w:val="00511934"/>
    <w:rsid w:val="0052371E"/>
    <w:rsid w:val="0055690B"/>
    <w:rsid w:val="005F4EB7"/>
    <w:rsid w:val="0065752E"/>
    <w:rsid w:val="006902C4"/>
    <w:rsid w:val="00745C6B"/>
    <w:rsid w:val="00752EA1"/>
    <w:rsid w:val="007813FD"/>
    <w:rsid w:val="00795CF4"/>
    <w:rsid w:val="007C3266"/>
    <w:rsid w:val="007D3163"/>
    <w:rsid w:val="00811CED"/>
    <w:rsid w:val="00823E7A"/>
    <w:rsid w:val="008923C2"/>
    <w:rsid w:val="008A4383"/>
    <w:rsid w:val="008B6B71"/>
    <w:rsid w:val="008E37BF"/>
    <w:rsid w:val="008F0F72"/>
    <w:rsid w:val="009E0F0E"/>
    <w:rsid w:val="009E5D1E"/>
    <w:rsid w:val="00B130BD"/>
    <w:rsid w:val="00B13640"/>
    <w:rsid w:val="00B37282"/>
    <w:rsid w:val="00B61CA4"/>
    <w:rsid w:val="00BD0EE8"/>
    <w:rsid w:val="00BD6E16"/>
    <w:rsid w:val="00BF0F01"/>
    <w:rsid w:val="00C60EE9"/>
    <w:rsid w:val="00D602E2"/>
    <w:rsid w:val="00D86579"/>
    <w:rsid w:val="00D906C1"/>
    <w:rsid w:val="00D95414"/>
    <w:rsid w:val="00E10BEB"/>
    <w:rsid w:val="00E26831"/>
    <w:rsid w:val="00E308A8"/>
    <w:rsid w:val="00E940FF"/>
    <w:rsid w:val="00EF41E8"/>
    <w:rsid w:val="00F70786"/>
    <w:rsid w:val="00F7698F"/>
    <w:rsid w:val="00F85EAF"/>
    <w:rsid w:val="00F95097"/>
    <w:rsid w:val="00FA41A4"/>
    <w:rsid w:val="00FF2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DD8D840"/>
  <w15:docId w15:val="{A2DC51AD-088F-45D5-904E-1162B8F0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7E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2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532"/>
  </w:style>
  <w:style w:type="paragraph" w:styleId="Footer">
    <w:name w:val="footer"/>
    <w:basedOn w:val="Normal"/>
    <w:link w:val="FooterChar"/>
    <w:uiPriority w:val="99"/>
    <w:unhideWhenUsed/>
    <w:rsid w:val="00232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532"/>
  </w:style>
  <w:style w:type="paragraph" w:styleId="BalloonText">
    <w:name w:val="Balloon Text"/>
    <w:basedOn w:val="Normal"/>
    <w:link w:val="BalloonTextChar"/>
    <w:uiPriority w:val="99"/>
    <w:semiHidden/>
    <w:unhideWhenUsed/>
    <w:rsid w:val="00232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532"/>
    <w:rPr>
      <w:rFonts w:ascii="Tahoma" w:hAnsi="Tahoma" w:cs="Tahoma"/>
      <w:sz w:val="16"/>
      <w:szCs w:val="16"/>
    </w:rPr>
  </w:style>
  <w:style w:type="paragraph" w:customStyle="1" w:styleId="CM3">
    <w:name w:val="CM3"/>
    <w:basedOn w:val="Normal"/>
    <w:next w:val="Normal"/>
    <w:rsid w:val="00232532"/>
    <w:pPr>
      <w:widowControl w:val="0"/>
      <w:autoSpaceDE w:val="0"/>
      <w:autoSpaceDN w:val="0"/>
      <w:adjustRightInd w:val="0"/>
      <w:spacing w:after="168" w:line="240" w:lineRule="auto"/>
    </w:pPr>
    <w:rPr>
      <w:rFonts w:ascii="Myriad Pro" w:eastAsia="Times New Roman" w:hAnsi="Myriad Pro" w:cs="Myriad Pro"/>
      <w:sz w:val="24"/>
      <w:szCs w:val="24"/>
    </w:rPr>
  </w:style>
  <w:style w:type="table" w:styleId="TableGrid">
    <w:name w:val="Table Grid"/>
    <w:basedOn w:val="TableNormal"/>
    <w:uiPriority w:val="59"/>
    <w:rsid w:val="00BD6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D6E16"/>
    <w:pPr>
      <w:spacing w:after="0" w:line="240" w:lineRule="auto"/>
    </w:pPr>
  </w:style>
  <w:style w:type="character" w:styleId="Hyperlink">
    <w:name w:val="Hyperlink"/>
    <w:basedOn w:val="DefaultParagraphFont"/>
    <w:uiPriority w:val="99"/>
    <w:unhideWhenUsed/>
    <w:rsid w:val="00287EBE"/>
    <w:rPr>
      <w:color w:val="0000FF" w:themeColor="hyperlink"/>
      <w:u w:val="single"/>
    </w:rPr>
  </w:style>
  <w:style w:type="character" w:customStyle="1" w:styleId="Heading1Char">
    <w:name w:val="Heading 1 Char"/>
    <w:basedOn w:val="DefaultParagraphFont"/>
    <w:link w:val="Heading1"/>
    <w:uiPriority w:val="9"/>
    <w:rsid w:val="00287EBE"/>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042C60"/>
    <w:rPr>
      <w:sz w:val="16"/>
      <w:szCs w:val="16"/>
    </w:rPr>
  </w:style>
  <w:style w:type="paragraph" w:styleId="CommentText">
    <w:name w:val="annotation text"/>
    <w:basedOn w:val="Normal"/>
    <w:link w:val="CommentTextChar"/>
    <w:uiPriority w:val="99"/>
    <w:semiHidden/>
    <w:unhideWhenUsed/>
    <w:rsid w:val="00042C60"/>
    <w:pPr>
      <w:spacing w:line="240" w:lineRule="auto"/>
    </w:pPr>
    <w:rPr>
      <w:sz w:val="20"/>
      <w:szCs w:val="20"/>
    </w:rPr>
  </w:style>
  <w:style w:type="character" w:customStyle="1" w:styleId="CommentTextChar">
    <w:name w:val="Comment Text Char"/>
    <w:basedOn w:val="DefaultParagraphFont"/>
    <w:link w:val="CommentText"/>
    <w:uiPriority w:val="99"/>
    <w:semiHidden/>
    <w:rsid w:val="00042C60"/>
    <w:rPr>
      <w:sz w:val="20"/>
      <w:szCs w:val="20"/>
    </w:rPr>
  </w:style>
  <w:style w:type="paragraph" w:styleId="CommentSubject">
    <w:name w:val="annotation subject"/>
    <w:basedOn w:val="CommentText"/>
    <w:next w:val="CommentText"/>
    <w:link w:val="CommentSubjectChar"/>
    <w:uiPriority w:val="99"/>
    <w:semiHidden/>
    <w:unhideWhenUsed/>
    <w:rsid w:val="00042C60"/>
    <w:rPr>
      <w:b/>
      <w:bCs/>
    </w:rPr>
  </w:style>
  <w:style w:type="character" w:customStyle="1" w:styleId="CommentSubjectChar">
    <w:name w:val="Comment Subject Char"/>
    <w:basedOn w:val="CommentTextChar"/>
    <w:link w:val="CommentSubject"/>
    <w:uiPriority w:val="99"/>
    <w:semiHidden/>
    <w:rsid w:val="00042C60"/>
    <w:rPr>
      <w:b/>
      <w:bCs/>
      <w:sz w:val="20"/>
      <w:szCs w:val="20"/>
    </w:rPr>
  </w:style>
  <w:style w:type="character" w:styleId="FollowedHyperlink">
    <w:name w:val="FollowedHyperlink"/>
    <w:basedOn w:val="DefaultParagraphFont"/>
    <w:uiPriority w:val="99"/>
    <w:semiHidden/>
    <w:unhideWhenUsed/>
    <w:rsid w:val="008B6B71"/>
    <w:rPr>
      <w:color w:val="800080" w:themeColor="followedHyperlink"/>
      <w:u w:val="single"/>
    </w:rPr>
  </w:style>
  <w:style w:type="paragraph" w:customStyle="1" w:styleId="Default">
    <w:name w:val="Default"/>
    <w:rsid w:val="008A438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208591">
      <w:bodyDiv w:val="1"/>
      <w:marLeft w:val="0"/>
      <w:marRight w:val="0"/>
      <w:marTop w:val="0"/>
      <w:marBottom w:val="0"/>
      <w:divBdr>
        <w:top w:val="none" w:sz="0" w:space="0" w:color="auto"/>
        <w:left w:val="none" w:sz="0" w:space="0" w:color="auto"/>
        <w:bottom w:val="none" w:sz="0" w:space="0" w:color="auto"/>
        <w:right w:val="none" w:sz="0" w:space="0" w:color="auto"/>
      </w:divBdr>
      <w:divsChild>
        <w:div w:id="1451238966">
          <w:marLeft w:val="0"/>
          <w:marRight w:val="0"/>
          <w:marTop w:val="0"/>
          <w:marBottom w:val="0"/>
          <w:divBdr>
            <w:top w:val="none" w:sz="0" w:space="0" w:color="auto"/>
            <w:left w:val="none" w:sz="0" w:space="0" w:color="auto"/>
            <w:bottom w:val="none" w:sz="0" w:space="0" w:color="auto"/>
            <w:right w:val="none" w:sz="0" w:space="0" w:color="auto"/>
          </w:divBdr>
          <w:divsChild>
            <w:div w:id="454252826">
              <w:marLeft w:val="0"/>
              <w:marRight w:val="0"/>
              <w:marTop w:val="0"/>
              <w:marBottom w:val="0"/>
              <w:divBdr>
                <w:top w:val="none" w:sz="0" w:space="0" w:color="auto"/>
                <w:left w:val="none" w:sz="0" w:space="0" w:color="auto"/>
                <w:bottom w:val="none" w:sz="0" w:space="0" w:color="auto"/>
                <w:right w:val="none" w:sz="0" w:space="0" w:color="auto"/>
              </w:divBdr>
              <w:divsChild>
                <w:div w:id="371267423">
                  <w:marLeft w:val="0"/>
                  <w:marRight w:val="0"/>
                  <w:marTop w:val="0"/>
                  <w:marBottom w:val="0"/>
                  <w:divBdr>
                    <w:top w:val="none" w:sz="0" w:space="0" w:color="auto"/>
                    <w:left w:val="none" w:sz="0" w:space="0" w:color="auto"/>
                    <w:bottom w:val="none" w:sz="0" w:space="0" w:color="auto"/>
                    <w:right w:val="none" w:sz="0" w:space="0" w:color="auto"/>
                  </w:divBdr>
                  <w:divsChild>
                    <w:div w:id="863979856">
                      <w:marLeft w:val="0"/>
                      <w:marRight w:val="0"/>
                      <w:marTop w:val="0"/>
                      <w:marBottom w:val="0"/>
                      <w:divBdr>
                        <w:top w:val="none" w:sz="0" w:space="0" w:color="auto"/>
                        <w:left w:val="none" w:sz="0" w:space="0" w:color="auto"/>
                        <w:bottom w:val="none" w:sz="0" w:space="0" w:color="auto"/>
                        <w:right w:val="none" w:sz="0" w:space="0" w:color="auto"/>
                      </w:divBdr>
                      <w:divsChild>
                        <w:div w:id="14629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511241">
      <w:bodyDiv w:val="1"/>
      <w:marLeft w:val="0"/>
      <w:marRight w:val="0"/>
      <w:marTop w:val="0"/>
      <w:marBottom w:val="0"/>
      <w:divBdr>
        <w:top w:val="none" w:sz="0" w:space="0" w:color="auto"/>
        <w:left w:val="none" w:sz="0" w:space="0" w:color="auto"/>
        <w:bottom w:val="none" w:sz="0" w:space="0" w:color="auto"/>
        <w:right w:val="none" w:sz="0" w:space="0" w:color="auto"/>
      </w:divBdr>
      <w:divsChild>
        <w:div w:id="1294410447">
          <w:marLeft w:val="0"/>
          <w:marRight w:val="0"/>
          <w:marTop w:val="0"/>
          <w:marBottom w:val="0"/>
          <w:divBdr>
            <w:top w:val="none" w:sz="0" w:space="0" w:color="auto"/>
            <w:left w:val="none" w:sz="0" w:space="0" w:color="auto"/>
            <w:bottom w:val="none" w:sz="0" w:space="0" w:color="auto"/>
            <w:right w:val="none" w:sz="0" w:space="0" w:color="auto"/>
          </w:divBdr>
          <w:divsChild>
            <w:div w:id="195511706">
              <w:marLeft w:val="0"/>
              <w:marRight w:val="0"/>
              <w:marTop w:val="0"/>
              <w:marBottom w:val="0"/>
              <w:divBdr>
                <w:top w:val="none" w:sz="0" w:space="0" w:color="auto"/>
                <w:left w:val="none" w:sz="0" w:space="0" w:color="auto"/>
                <w:bottom w:val="none" w:sz="0" w:space="0" w:color="auto"/>
                <w:right w:val="none" w:sz="0" w:space="0" w:color="auto"/>
              </w:divBdr>
              <w:divsChild>
                <w:div w:id="1352226395">
                  <w:marLeft w:val="0"/>
                  <w:marRight w:val="0"/>
                  <w:marTop w:val="0"/>
                  <w:marBottom w:val="0"/>
                  <w:divBdr>
                    <w:top w:val="none" w:sz="0" w:space="0" w:color="auto"/>
                    <w:left w:val="none" w:sz="0" w:space="0" w:color="auto"/>
                    <w:bottom w:val="none" w:sz="0" w:space="0" w:color="auto"/>
                    <w:right w:val="none" w:sz="0" w:space="0" w:color="auto"/>
                  </w:divBdr>
                  <w:divsChild>
                    <w:div w:id="207302241">
                      <w:marLeft w:val="0"/>
                      <w:marRight w:val="0"/>
                      <w:marTop w:val="0"/>
                      <w:marBottom w:val="0"/>
                      <w:divBdr>
                        <w:top w:val="none" w:sz="0" w:space="0" w:color="auto"/>
                        <w:left w:val="none" w:sz="0" w:space="0" w:color="auto"/>
                        <w:bottom w:val="none" w:sz="0" w:space="0" w:color="auto"/>
                        <w:right w:val="none" w:sz="0" w:space="0" w:color="auto"/>
                      </w:divBdr>
                      <w:divsChild>
                        <w:div w:id="3329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18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gme.org/Portals/0/PDFs/ab_ACGMEPoliciesProcedur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2.ohsu.edu/emergency-management/resources/upload/2017-Emergency-Operations-Plan.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cgme.org/Portals/0/PDFs/ab_ACGMEPoliciesProcedures.pdf" TargetMode="External"/><Relationship Id="rId4" Type="http://schemas.openxmlformats.org/officeDocument/2006/relationships/webSettings" Target="webSettings.xml"/><Relationship Id="rId9" Type="http://schemas.openxmlformats.org/officeDocument/2006/relationships/hyperlink" Target="https://o2.ohsu.edu/emergency-management/resources/upload/2017-Emergency-Operations-Pl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770</Words>
  <Characters>4663</Characters>
  <Application>Microsoft Office Word</Application>
  <DocSecurity>0</DocSecurity>
  <Lines>119</Lines>
  <Paragraphs>54</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Cathy Villagomez</dc:creator>
  <cp:lastModifiedBy>Christine Flores</cp:lastModifiedBy>
  <cp:revision>8</cp:revision>
  <cp:lastPrinted>2017-10-17T19:48:00Z</cp:lastPrinted>
  <dcterms:created xsi:type="dcterms:W3CDTF">2022-10-09T01:46:00Z</dcterms:created>
  <dcterms:modified xsi:type="dcterms:W3CDTF">2022-10-13T21:01:00Z</dcterms:modified>
</cp:coreProperties>
</file>