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3007" w14:textId="77777777" w:rsidR="00012170" w:rsidRPr="005D2B70" w:rsidRDefault="00012170" w:rsidP="00BD6E16">
      <w:pPr>
        <w:rPr>
          <w:b/>
        </w:rPr>
      </w:pPr>
      <w:r w:rsidRPr="005D2B70">
        <w:rPr>
          <w:b/>
        </w:rPr>
        <w:t>P</w:t>
      </w:r>
      <w:r w:rsidR="004A59C3">
        <w:rPr>
          <w:b/>
        </w:rPr>
        <w:t>rocedure</w:t>
      </w:r>
      <w:r w:rsidRPr="005D2B70">
        <w:rPr>
          <w:b/>
        </w:rPr>
        <w:t xml:space="preserve"> Number:</w:t>
      </w:r>
      <w:r w:rsidR="00F85EAF" w:rsidRPr="005D2B70">
        <w:rPr>
          <w:b/>
        </w:rPr>
        <w:t xml:space="preserve"> </w:t>
      </w:r>
      <w:r w:rsidR="000A1B7E" w:rsidRPr="005D2B70">
        <w:rPr>
          <w:b/>
        </w:rPr>
        <w:t>GME 24</w:t>
      </w:r>
    </w:p>
    <w:p w14:paraId="74DC3CC1" w14:textId="23A657CC" w:rsidR="007D3163" w:rsidRDefault="00012170" w:rsidP="001E06D6">
      <w:pPr>
        <w:pStyle w:val="NoSpacing"/>
        <w:rPr>
          <w:b/>
        </w:rPr>
      </w:pPr>
      <w:r w:rsidRPr="005D2B70">
        <w:rPr>
          <w:b/>
        </w:rPr>
        <w:t>P</w:t>
      </w:r>
      <w:r w:rsidR="004A59C3">
        <w:rPr>
          <w:b/>
        </w:rPr>
        <w:t>rocedure</w:t>
      </w:r>
      <w:r w:rsidRPr="005D2B70">
        <w:rPr>
          <w:b/>
        </w:rPr>
        <w:t xml:space="preserve"> Title:</w:t>
      </w:r>
      <w:r w:rsidR="001E06D6" w:rsidRPr="005D2B70">
        <w:rPr>
          <w:b/>
        </w:rPr>
        <w:t xml:space="preserve">  </w:t>
      </w:r>
      <w:r w:rsidR="00C035A3">
        <w:rPr>
          <w:b/>
        </w:rPr>
        <w:t xml:space="preserve">Eligibility, </w:t>
      </w:r>
      <w:r w:rsidR="000A1B7E" w:rsidRPr="005D2B70">
        <w:rPr>
          <w:b/>
        </w:rPr>
        <w:t>Recruitment</w:t>
      </w:r>
      <w:r w:rsidR="00C035A3">
        <w:rPr>
          <w:b/>
        </w:rPr>
        <w:t xml:space="preserve"> &amp; Selection</w:t>
      </w:r>
    </w:p>
    <w:p w14:paraId="4013AB81" w14:textId="77777777" w:rsidR="007D3163" w:rsidRPr="005D2B70" w:rsidRDefault="007D3163" w:rsidP="00BD6E16">
      <w:pPr>
        <w:pStyle w:val="NoSpacing"/>
        <w:rPr>
          <w:b/>
        </w:rPr>
      </w:pPr>
    </w:p>
    <w:p w14:paraId="4DA74336" w14:textId="77777777" w:rsidR="00933257" w:rsidRPr="005D2B70" w:rsidRDefault="00BD6E16" w:rsidP="00BD6E16">
      <w:pPr>
        <w:pStyle w:val="NoSpacing"/>
        <w:rPr>
          <w:b/>
        </w:rPr>
      </w:pPr>
      <w:r w:rsidRPr="005D2B70">
        <w:rPr>
          <w:b/>
        </w:rPr>
        <w:t>P</w:t>
      </w:r>
      <w:r w:rsidR="004A59C3">
        <w:rPr>
          <w:b/>
        </w:rPr>
        <w:t>rocedure</w:t>
      </w:r>
      <w:r w:rsidRPr="005D2B70">
        <w:rPr>
          <w:b/>
        </w:rPr>
        <w:t xml:space="preserve"> Statement</w:t>
      </w:r>
      <w:r w:rsidR="00012170" w:rsidRPr="005D2B70">
        <w:rPr>
          <w:b/>
        </w:rPr>
        <w:t>:</w:t>
      </w:r>
    </w:p>
    <w:p w14:paraId="24CA562C" w14:textId="77777777" w:rsidR="001E06D6" w:rsidRPr="00DE7B05" w:rsidRDefault="001E06D6" w:rsidP="001E06D6">
      <w:pPr>
        <w:pStyle w:val="NoSpacing"/>
      </w:pPr>
    </w:p>
    <w:p w14:paraId="01588A83" w14:textId="77777777" w:rsidR="000A1B7E" w:rsidRPr="000A1B7E" w:rsidRDefault="000A1B7E" w:rsidP="000A1B7E">
      <w:pPr>
        <w:pStyle w:val="NoSpacing"/>
        <w:rPr>
          <w:rFonts w:eastAsia="Times New Roman" w:cs="Times New Roman"/>
          <w:szCs w:val="24"/>
        </w:rPr>
      </w:pPr>
      <w:r w:rsidRPr="000A1B7E">
        <w:rPr>
          <w:rFonts w:eastAsia="Times New Roman" w:cs="Times New Roman"/>
          <w:szCs w:val="24"/>
        </w:rPr>
        <w:t>Applicants must have one of the following qualifications to be considered eligible for appointment to one of OHSU’s ACGME accredited residency or fellowship training programs.</w:t>
      </w:r>
    </w:p>
    <w:p w14:paraId="3CC683BB" w14:textId="77777777" w:rsidR="000A1B7E" w:rsidRPr="000A1B7E" w:rsidRDefault="000A1B7E" w:rsidP="000A1B7E">
      <w:pPr>
        <w:pStyle w:val="NoSpacing"/>
        <w:rPr>
          <w:rFonts w:eastAsia="Times New Roman" w:cs="Times New Roman"/>
          <w:szCs w:val="24"/>
        </w:rPr>
      </w:pPr>
    </w:p>
    <w:p w14:paraId="26B862FF" w14:textId="77777777" w:rsidR="000A1B7E" w:rsidRPr="000A1B7E" w:rsidRDefault="000A1B7E" w:rsidP="000A1B7E">
      <w:pPr>
        <w:pStyle w:val="NoSpacing"/>
        <w:numPr>
          <w:ilvl w:val="0"/>
          <w:numId w:val="19"/>
        </w:numPr>
        <w:rPr>
          <w:rFonts w:eastAsia="Times New Roman" w:cs="Times New Roman"/>
          <w:szCs w:val="24"/>
        </w:rPr>
      </w:pPr>
      <w:r w:rsidRPr="000A1B7E">
        <w:rPr>
          <w:rFonts w:eastAsia="Times New Roman" w:cs="Times New Roman"/>
          <w:szCs w:val="24"/>
        </w:rPr>
        <w:t>A graduate of a US or Canadian medical school accredited by the Liaison Committee on Medical Education</w:t>
      </w:r>
    </w:p>
    <w:p w14:paraId="0ABA8936" w14:textId="77777777" w:rsidR="000A1B7E" w:rsidRPr="000A1B7E" w:rsidRDefault="000A1B7E" w:rsidP="000A1B7E">
      <w:pPr>
        <w:pStyle w:val="NoSpacing"/>
        <w:numPr>
          <w:ilvl w:val="0"/>
          <w:numId w:val="19"/>
        </w:numPr>
        <w:rPr>
          <w:rFonts w:eastAsia="Times New Roman" w:cs="Times New Roman"/>
          <w:szCs w:val="24"/>
        </w:rPr>
      </w:pPr>
      <w:r w:rsidRPr="000A1B7E">
        <w:rPr>
          <w:rFonts w:eastAsia="Times New Roman" w:cs="Times New Roman"/>
          <w:szCs w:val="24"/>
        </w:rPr>
        <w:t>A graduate of a US Colleges of Osteopathic Medicine accredited by the American Osteopathic Association</w:t>
      </w:r>
    </w:p>
    <w:p w14:paraId="312E956A" w14:textId="2121C0D2" w:rsidR="000A1B7E" w:rsidRPr="00624294" w:rsidRDefault="000A1B7E" w:rsidP="00624294">
      <w:pPr>
        <w:pStyle w:val="NoSpacing"/>
        <w:numPr>
          <w:ilvl w:val="0"/>
          <w:numId w:val="19"/>
        </w:numPr>
        <w:rPr>
          <w:rFonts w:eastAsia="Times New Roman" w:cs="Times New Roman"/>
          <w:szCs w:val="24"/>
        </w:rPr>
      </w:pPr>
      <w:r w:rsidRPr="000A1B7E">
        <w:rPr>
          <w:rFonts w:eastAsia="Times New Roman" w:cs="Times New Roman"/>
          <w:szCs w:val="24"/>
        </w:rPr>
        <w:t>A graduate of a medical school outs</w:t>
      </w:r>
      <w:r w:rsidR="00624294">
        <w:rPr>
          <w:rFonts w:eastAsia="Times New Roman" w:cs="Times New Roman"/>
          <w:szCs w:val="24"/>
        </w:rPr>
        <w:t>ide of the US or Canada</w:t>
      </w:r>
      <w:r w:rsidR="00D115EF">
        <w:rPr>
          <w:rFonts w:eastAsia="Times New Roman" w:cs="Times New Roman"/>
          <w:szCs w:val="24"/>
        </w:rPr>
        <w:t>,</w:t>
      </w:r>
      <w:r w:rsidR="00624294">
        <w:rPr>
          <w:rFonts w:eastAsia="Times New Roman" w:cs="Times New Roman"/>
          <w:szCs w:val="24"/>
        </w:rPr>
        <w:t xml:space="preserve"> who h</w:t>
      </w:r>
      <w:r w:rsidRPr="00624294">
        <w:rPr>
          <w:rFonts w:eastAsia="Times New Roman" w:cs="Times New Roman"/>
          <w:szCs w:val="24"/>
        </w:rPr>
        <w:t>olds a currently valid certificate from the Educational Commissio</w:t>
      </w:r>
      <w:r w:rsidR="00D115EF">
        <w:rPr>
          <w:rFonts w:eastAsia="Times New Roman" w:cs="Times New Roman"/>
          <w:szCs w:val="24"/>
        </w:rPr>
        <w:t>n for Foreign Medical Graduates</w:t>
      </w:r>
      <w:r w:rsidR="00FE22BB">
        <w:rPr>
          <w:rFonts w:eastAsia="Times New Roman" w:cs="Times New Roman"/>
          <w:szCs w:val="24"/>
        </w:rPr>
        <w:t xml:space="preserve"> </w:t>
      </w:r>
    </w:p>
    <w:p w14:paraId="6326D135" w14:textId="77777777" w:rsidR="000A1B7E" w:rsidRPr="000A1B7E" w:rsidRDefault="000A1B7E" w:rsidP="00624294">
      <w:pPr>
        <w:pStyle w:val="NoSpacing"/>
        <w:ind w:left="1080"/>
        <w:rPr>
          <w:rFonts w:eastAsia="Times New Roman" w:cs="Times New Roman"/>
          <w:szCs w:val="24"/>
        </w:rPr>
      </w:pPr>
    </w:p>
    <w:p w14:paraId="6334C5F4" w14:textId="2D5B1C96" w:rsidR="00D115EF" w:rsidRPr="006B24CF" w:rsidRDefault="006F0C4C" w:rsidP="000A1B7E">
      <w:pPr>
        <w:pStyle w:val="NoSpacing"/>
      </w:pPr>
      <w:r>
        <w:t>House Officers</w:t>
      </w:r>
      <w:r w:rsidR="00D115EF" w:rsidRPr="00417141">
        <w:t xml:space="preserve"> are selected based upon their preparedness, abilities, aptitudes, academic credentials, communication skills, and personal qualities such as motivation and integrity.  </w:t>
      </w:r>
      <w:r w:rsidR="006B24CF">
        <w:t>OHSU does</w:t>
      </w:r>
      <w:r w:rsidR="00D115EF" w:rsidRPr="00417141">
        <w:t xml:space="preserve"> not discriminate with regard to gender, race, age, sexual orientation, religion, color, national origin, disability or veteran status.  The </w:t>
      </w:r>
      <w:r>
        <w:t>house officer</w:t>
      </w:r>
      <w:r w:rsidR="00D115EF" w:rsidRPr="00417141">
        <w:t xml:space="preserve"> must be legally able to work in the U.S., or eligible to obtain work authorization.</w:t>
      </w:r>
      <w:r w:rsidR="00D115EF">
        <w:t xml:space="preserve">  </w:t>
      </w:r>
    </w:p>
    <w:p w14:paraId="7A9B0A76" w14:textId="77777777" w:rsidR="00D115EF" w:rsidRDefault="00D115EF" w:rsidP="000A1B7E">
      <w:pPr>
        <w:pStyle w:val="NoSpacing"/>
        <w:rPr>
          <w:rFonts w:eastAsia="Times New Roman" w:cs="Times New Roman"/>
          <w:szCs w:val="24"/>
        </w:rPr>
      </w:pPr>
    </w:p>
    <w:p w14:paraId="28ED557E" w14:textId="7802FFC9" w:rsidR="000A1B7E" w:rsidRDefault="003F601C" w:rsidP="000A1B7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All applicants must use the ERAS system</w:t>
      </w:r>
      <w:r w:rsidR="00703D79">
        <w:rPr>
          <w:rFonts w:eastAsia="Times New Roman" w:cs="Times New Roman"/>
          <w:szCs w:val="24"/>
        </w:rPr>
        <w:t>, if required by the program,</w:t>
      </w:r>
      <w:r>
        <w:rPr>
          <w:rFonts w:eastAsia="Times New Roman" w:cs="Times New Roman"/>
          <w:szCs w:val="24"/>
        </w:rPr>
        <w:t xml:space="preserve"> or another method of providing </w:t>
      </w:r>
      <w:r w:rsidR="00D115EF">
        <w:rPr>
          <w:rFonts w:eastAsia="Times New Roman" w:cs="Times New Roman"/>
          <w:szCs w:val="24"/>
        </w:rPr>
        <w:t xml:space="preserve">an application, as well as </w:t>
      </w:r>
      <w:r w:rsidR="00703D79">
        <w:rPr>
          <w:rFonts w:eastAsia="Times New Roman" w:cs="Times New Roman"/>
          <w:szCs w:val="24"/>
        </w:rPr>
        <w:t xml:space="preserve">primary source </w:t>
      </w:r>
      <w:r>
        <w:rPr>
          <w:rFonts w:eastAsia="Times New Roman" w:cs="Times New Roman"/>
          <w:szCs w:val="24"/>
        </w:rPr>
        <w:t xml:space="preserve">documentation of their Medical School Performance Evaluation, proof of graduation from medical school, their USMLE or COMLEX score report, and if prior training has </w:t>
      </w:r>
      <w:r w:rsidR="00D115EF">
        <w:rPr>
          <w:rFonts w:eastAsia="Times New Roman" w:cs="Times New Roman"/>
          <w:szCs w:val="24"/>
        </w:rPr>
        <w:t>occurred, a core competency-</w:t>
      </w:r>
      <w:r>
        <w:rPr>
          <w:rFonts w:eastAsia="Times New Roman" w:cs="Times New Roman"/>
          <w:szCs w:val="24"/>
        </w:rPr>
        <w:t>based letter from their prior program director.</w:t>
      </w:r>
      <w:r w:rsidR="007028DC">
        <w:rPr>
          <w:rFonts w:eastAsia="Times New Roman" w:cs="Times New Roman"/>
          <w:szCs w:val="24"/>
        </w:rPr>
        <w:t xml:space="preserve">  </w:t>
      </w:r>
    </w:p>
    <w:p w14:paraId="33F589BB" w14:textId="77777777" w:rsidR="003F601C" w:rsidRPr="000A1B7E" w:rsidRDefault="003F601C" w:rsidP="000A1B7E">
      <w:pPr>
        <w:pStyle w:val="NoSpacing"/>
        <w:rPr>
          <w:rFonts w:eastAsia="Times New Roman" w:cs="Times New Roman"/>
          <w:szCs w:val="24"/>
        </w:rPr>
      </w:pPr>
    </w:p>
    <w:p w14:paraId="6DB1A54B" w14:textId="1D73207B" w:rsidR="00DE7B05" w:rsidRDefault="00D115EF" w:rsidP="000A1B7E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When appropriate, t</w:t>
      </w:r>
      <w:r w:rsidR="000A1B7E" w:rsidRPr="000A1B7E">
        <w:rPr>
          <w:rFonts w:eastAsia="Times New Roman" w:cs="Times New Roman"/>
          <w:szCs w:val="24"/>
        </w:rPr>
        <w:t xml:space="preserve">he National Residency Matching Program is utilized in the recruitment process.  </w:t>
      </w:r>
      <w:r w:rsidR="000A1B7E" w:rsidRPr="004C0421">
        <w:rPr>
          <w:rFonts w:eastAsia="Times New Roman" w:cs="Times New Roman"/>
          <w:b/>
          <w:szCs w:val="24"/>
        </w:rPr>
        <w:t xml:space="preserve">The faculty and program director must understand </w:t>
      </w:r>
      <w:r w:rsidR="00A15962">
        <w:rPr>
          <w:rFonts w:eastAsia="Times New Roman" w:cs="Times New Roman"/>
          <w:b/>
          <w:szCs w:val="24"/>
        </w:rPr>
        <w:t xml:space="preserve">and follow </w:t>
      </w:r>
      <w:r w:rsidR="000A1B7E" w:rsidRPr="004C0421">
        <w:rPr>
          <w:rFonts w:eastAsia="Times New Roman" w:cs="Times New Roman"/>
          <w:b/>
          <w:szCs w:val="24"/>
        </w:rPr>
        <w:t>the rules of the NRMP</w:t>
      </w:r>
      <w:r w:rsidR="00A15962">
        <w:rPr>
          <w:rFonts w:eastAsia="Times New Roman" w:cs="Times New Roman"/>
          <w:b/>
          <w:szCs w:val="24"/>
        </w:rPr>
        <w:t xml:space="preserve"> (or other match algorithm policies)</w:t>
      </w:r>
      <w:r w:rsidR="00A15962">
        <w:rPr>
          <w:rFonts w:eastAsia="Times New Roman" w:cs="Times New Roman"/>
          <w:szCs w:val="24"/>
        </w:rPr>
        <w:t>.</w:t>
      </w:r>
      <w:r w:rsidR="000A1B7E" w:rsidRPr="000A1B7E">
        <w:rPr>
          <w:rFonts w:eastAsia="Times New Roman" w:cs="Times New Roman"/>
          <w:szCs w:val="24"/>
        </w:rPr>
        <w:t xml:space="preserve"> </w:t>
      </w:r>
      <w:r w:rsidR="003F601C">
        <w:rPr>
          <w:rFonts w:eastAsia="Times New Roman" w:cs="Times New Roman"/>
          <w:szCs w:val="24"/>
        </w:rPr>
        <w:t>All programs included in the “all-in” NRMP policy must adhere to it, and all</w:t>
      </w:r>
      <w:r>
        <w:rPr>
          <w:rFonts w:eastAsia="Times New Roman" w:cs="Times New Roman"/>
          <w:szCs w:val="24"/>
        </w:rPr>
        <w:t xml:space="preserve"> programs must share with their interviewees </w:t>
      </w:r>
      <w:r w:rsidR="003F601C">
        <w:rPr>
          <w:rFonts w:eastAsia="Times New Roman" w:cs="Times New Roman"/>
          <w:szCs w:val="24"/>
        </w:rPr>
        <w:t>the contract that the resident/fellow will be signing if they match with the OHSU program.</w:t>
      </w:r>
      <w:r>
        <w:rPr>
          <w:rFonts w:eastAsia="Times New Roman" w:cs="Times New Roman"/>
          <w:szCs w:val="24"/>
        </w:rPr>
        <w:t xml:space="preserve"> Verification of the interviewee receiving a copy of the contract must be obtained by the program.</w:t>
      </w:r>
    </w:p>
    <w:p w14:paraId="531F30B2" w14:textId="77777777" w:rsidR="007028DC" w:rsidRDefault="007028DC" w:rsidP="000A1B7E">
      <w:pPr>
        <w:pStyle w:val="NoSpacing"/>
        <w:rPr>
          <w:rFonts w:eastAsia="Times New Roman" w:cs="Times New Roman"/>
          <w:szCs w:val="24"/>
        </w:rPr>
      </w:pPr>
    </w:p>
    <w:p w14:paraId="71AB34C1" w14:textId="77777777" w:rsidR="003F601C" w:rsidRDefault="003F601C" w:rsidP="000A1B7E">
      <w:pPr>
        <w:pStyle w:val="NoSpacing"/>
        <w:rPr>
          <w:rFonts w:eastAsia="Times New Roman" w:cs="Times New Roman"/>
          <w:szCs w:val="24"/>
        </w:rPr>
      </w:pPr>
    </w:p>
    <w:p w14:paraId="5013CBD2" w14:textId="77777777" w:rsidR="00703D79" w:rsidRPr="009C486B" w:rsidRDefault="00703D79" w:rsidP="006C03A0">
      <w:pPr>
        <w:pStyle w:val="NoSpacing"/>
        <w:rPr>
          <w:rFonts w:eastAsia="Times New Roman" w:cs="Times New Roman"/>
          <w:b/>
          <w:szCs w:val="24"/>
          <w:u w:val="single"/>
        </w:rPr>
      </w:pPr>
      <w:r w:rsidRPr="009C486B">
        <w:rPr>
          <w:rFonts w:eastAsia="Times New Roman" w:cs="Times New Roman"/>
          <w:b/>
          <w:szCs w:val="24"/>
          <w:u w:val="single"/>
        </w:rPr>
        <w:t>Off-Cycle or Positions Recruited Outside the Match</w:t>
      </w:r>
    </w:p>
    <w:p w14:paraId="227F0CEF" w14:textId="1A201A5F" w:rsidR="006C03A0" w:rsidRDefault="00703D79" w:rsidP="006C03A0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The GME Office must review all</w:t>
      </w:r>
      <w:r w:rsidR="009C486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documents below </w:t>
      </w:r>
      <w:r w:rsidRPr="009C486B">
        <w:rPr>
          <w:rFonts w:eastAsia="Times New Roman" w:cs="Times New Roman"/>
          <w:b/>
          <w:i/>
          <w:szCs w:val="24"/>
          <w:u w:val="single"/>
        </w:rPr>
        <w:t>prior to an offer being extended by the program.</w:t>
      </w:r>
      <w:r>
        <w:rPr>
          <w:rFonts w:eastAsia="Times New Roman" w:cs="Times New Roman"/>
          <w:szCs w:val="24"/>
        </w:rPr>
        <w:t xml:space="preserve"> </w:t>
      </w:r>
      <w:r w:rsidR="003F601C">
        <w:rPr>
          <w:rFonts w:eastAsia="Times New Roman" w:cs="Times New Roman"/>
          <w:szCs w:val="24"/>
        </w:rPr>
        <w:t>Those individual applicants who are recruited outside of an organized match</w:t>
      </w:r>
      <w:r w:rsidR="006B24CF">
        <w:rPr>
          <w:rFonts w:eastAsia="Times New Roman" w:cs="Times New Roman"/>
          <w:szCs w:val="24"/>
        </w:rPr>
        <w:t>, such as those recruited after their PGY 1 year or off-cycle,</w:t>
      </w:r>
      <w:r w:rsidR="003F601C">
        <w:rPr>
          <w:rFonts w:eastAsia="Times New Roman" w:cs="Times New Roman"/>
          <w:szCs w:val="24"/>
        </w:rPr>
        <w:t xml:space="preserve"> must provide </w:t>
      </w:r>
      <w:r>
        <w:rPr>
          <w:rFonts w:eastAsia="Times New Roman" w:cs="Times New Roman"/>
          <w:szCs w:val="24"/>
        </w:rPr>
        <w:t xml:space="preserve">primary source </w:t>
      </w:r>
      <w:r w:rsidR="003F601C">
        <w:rPr>
          <w:rFonts w:eastAsia="Times New Roman" w:cs="Times New Roman"/>
          <w:szCs w:val="24"/>
        </w:rPr>
        <w:t>documentation of their Medical School Performance Evaluation, proof of graduation from</w:t>
      </w:r>
      <w:r w:rsidR="006B24CF">
        <w:rPr>
          <w:rFonts w:eastAsia="Times New Roman" w:cs="Times New Roman"/>
          <w:szCs w:val="24"/>
        </w:rPr>
        <w:t xml:space="preserve"> medical school, their USMLE/</w:t>
      </w:r>
      <w:r w:rsidR="003F601C">
        <w:rPr>
          <w:rFonts w:eastAsia="Times New Roman" w:cs="Times New Roman"/>
          <w:szCs w:val="24"/>
        </w:rPr>
        <w:t xml:space="preserve">COMLEX score report, and if prior training </w:t>
      </w:r>
      <w:r w:rsidR="00D115EF">
        <w:rPr>
          <w:rFonts w:eastAsia="Times New Roman" w:cs="Times New Roman"/>
          <w:szCs w:val="24"/>
        </w:rPr>
        <w:t xml:space="preserve">has occurred, </w:t>
      </w:r>
      <w:r>
        <w:rPr>
          <w:rFonts w:eastAsia="Times New Roman" w:cs="Times New Roman"/>
          <w:szCs w:val="24"/>
        </w:rPr>
        <w:t xml:space="preserve">and </w:t>
      </w:r>
      <w:r w:rsidR="00D115EF">
        <w:rPr>
          <w:rFonts w:eastAsia="Times New Roman" w:cs="Times New Roman"/>
          <w:szCs w:val="24"/>
        </w:rPr>
        <w:t>a core competency-</w:t>
      </w:r>
      <w:r w:rsidR="003F601C">
        <w:rPr>
          <w:rFonts w:eastAsia="Times New Roman" w:cs="Times New Roman"/>
          <w:szCs w:val="24"/>
        </w:rPr>
        <w:t xml:space="preserve">based letter from their prior program director.  </w:t>
      </w:r>
      <w:r w:rsidR="006C03A0">
        <w:rPr>
          <w:rFonts w:eastAsia="Times New Roman" w:cs="Times New Roman"/>
          <w:szCs w:val="24"/>
        </w:rPr>
        <w:t xml:space="preserve">  Programs with applicants who have significant concerns will prompt a discussion between the Designated Institutional Official and the Program Director, with the potential referral to GMEC for review. </w:t>
      </w:r>
    </w:p>
    <w:p w14:paraId="087632E9" w14:textId="4D66BA63" w:rsidR="004926B1" w:rsidRDefault="004926B1" w:rsidP="003F601C">
      <w:pPr>
        <w:pStyle w:val="NoSpacing"/>
        <w:rPr>
          <w:rFonts w:eastAsia="Times New Roman" w:cs="Times New Roman"/>
          <w:szCs w:val="24"/>
        </w:rPr>
      </w:pPr>
    </w:p>
    <w:p w14:paraId="79094C11" w14:textId="5E2482A4" w:rsidR="001A250A" w:rsidRPr="00DF1EDA" w:rsidRDefault="00DF1EDA" w:rsidP="003F601C">
      <w:pPr>
        <w:pStyle w:val="NoSpacing"/>
        <w:rPr>
          <w:rFonts w:eastAsia="Times New Roman" w:cs="Times New Roman"/>
          <w:b/>
          <w:szCs w:val="24"/>
          <w:u w:val="single"/>
        </w:rPr>
      </w:pPr>
      <w:r w:rsidRPr="00DF1EDA">
        <w:rPr>
          <w:rFonts w:eastAsia="Times New Roman" w:cs="Times New Roman"/>
          <w:b/>
          <w:szCs w:val="24"/>
          <w:u w:val="single"/>
        </w:rPr>
        <w:t xml:space="preserve">Resident/Fellow Eligibility </w:t>
      </w:r>
      <w:r w:rsidR="001A250A" w:rsidRPr="00DF1EDA">
        <w:rPr>
          <w:rFonts w:eastAsia="Times New Roman" w:cs="Times New Roman"/>
          <w:b/>
          <w:szCs w:val="24"/>
          <w:u w:val="single"/>
        </w:rPr>
        <w:t>Exception</w:t>
      </w:r>
    </w:p>
    <w:p w14:paraId="37F06925" w14:textId="6EE42DBF" w:rsidR="00D2485F" w:rsidRDefault="001A250A" w:rsidP="003F601C">
      <w:pPr>
        <w:pStyle w:val="NoSpacing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 xml:space="preserve">Some specialties allow for the </w:t>
      </w:r>
      <w:r w:rsidR="007C68D2">
        <w:rPr>
          <w:rFonts w:eastAsia="Times New Roman" w:cs="Times New Roman"/>
          <w:szCs w:val="24"/>
        </w:rPr>
        <w:t>Resident/Fellow Eligibility</w:t>
      </w:r>
      <w:r>
        <w:rPr>
          <w:rFonts w:eastAsia="Times New Roman" w:cs="Times New Roman"/>
          <w:szCs w:val="24"/>
        </w:rPr>
        <w:t xml:space="preserve"> Exception to the usual prerequisites for consideration for appointment to a program. All candidates </w:t>
      </w:r>
      <w:r w:rsidR="00F5234D">
        <w:rPr>
          <w:rFonts w:eastAsia="Times New Roman" w:cs="Times New Roman"/>
          <w:szCs w:val="24"/>
        </w:rPr>
        <w:t>considered under this provision must receive GMEC approval before</w:t>
      </w:r>
      <w:r>
        <w:rPr>
          <w:rFonts w:eastAsia="Times New Roman" w:cs="Times New Roman"/>
          <w:szCs w:val="24"/>
        </w:rPr>
        <w:t xml:space="preserve"> ranking or offering a position</w:t>
      </w:r>
      <w:r w:rsidR="00BB4EF1">
        <w:rPr>
          <w:rFonts w:eastAsia="Times New Roman" w:cs="Times New Roman"/>
          <w:szCs w:val="24"/>
        </w:rPr>
        <w:t>. OHSU GME will follow the requirements detailed in each program’s requirements and in addition, expect</w:t>
      </w:r>
      <w:r w:rsidR="00BB4EF1" w:rsidDel="00BB4EF1">
        <w:rPr>
          <w:rFonts w:eastAsia="Times New Roman" w:cs="Times New Roman"/>
          <w:szCs w:val="24"/>
        </w:rPr>
        <w:t xml:space="preserve"> </w:t>
      </w:r>
      <w:r w:rsidR="00BB4EF1">
        <w:rPr>
          <w:rFonts w:eastAsia="Times New Roman" w:cs="Times New Roman"/>
          <w:szCs w:val="24"/>
        </w:rPr>
        <w:t>that candidates will have:</w:t>
      </w:r>
    </w:p>
    <w:p w14:paraId="4B98754C" w14:textId="23D6FD4F" w:rsidR="00D2485F" w:rsidRDefault="00D2485F" w:rsidP="00D2485F">
      <w:pPr>
        <w:pStyle w:val="NoSpacing"/>
        <w:numPr>
          <w:ilvl w:val="0"/>
          <w:numId w:val="22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Practiced clinical medicine within the past 3 years</w:t>
      </w:r>
    </w:p>
    <w:p w14:paraId="3E416A4A" w14:textId="6A1909BD" w:rsidR="00BB4EF1" w:rsidRDefault="00D2485F" w:rsidP="00BB4EF1">
      <w:pPr>
        <w:pStyle w:val="NoSpacing"/>
        <w:numPr>
          <w:ilvl w:val="0"/>
          <w:numId w:val="22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Submit </w:t>
      </w:r>
      <w:r w:rsidR="00802588">
        <w:rPr>
          <w:rFonts w:eastAsia="Times New Roman" w:cs="Times New Roman"/>
          <w:szCs w:val="24"/>
        </w:rPr>
        <w:t xml:space="preserve">3 </w:t>
      </w:r>
      <w:r>
        <w:rPr>
          <w:rFonts w:eastAsia="Times New Roman" w:cs="Times New Roman"/>
          <w:szCs w:val="24"/>
        </w:rPr>
        <w:t>letters of recommendation</w:t>
      </w:r>
      <w:r w:rsidR="00802588">
        <w:rPr>
          <w:rFonts w:eastAsia="Times New Roman" w:cs="Times New Roman"/>
          <w:szCs w:val="24"/>
        </w:rPr>
        <w:t>, with at least one</w:t>
      </w:r>
      <w:r>
        <w:rPr>
          <w:rFonts w:eastAsia="Times New Roman" w:cs="Times New Roman"/>
          <w:szCs w:val="24"/>
        </w:rPr>
        <w:t xml:space="preserve"> from </w:t>
      </w:r>
      <w:r w:rsidR="00802588">
        <w:rPr>
          <w:rFonts w:eastAsia="Times New Roman" w:cs="Times New Roman"/>
          <w:szCs w:val="24"/>
        </w:rPr>
        <w:t>an individual that has</w:t>
      </w:r>
      <w:r>
        <w:rPr>
          <w:rFonts w:eastAsia="Times New Roman" w:cs="Times New Roman"/>
          <w:szCs w:val="24"/>
        </w:rPr>
        <w:t xml:space="preserve"> worked with them in a clinical capacity, not an observership or research capacity.</w:t>
      </w:r>
      <w:r w:rsidR="00802588">
        <w:rPr>
          <w:rFonts w:eastAsia="Times New Roman" w:cs="Times New Roman"/>
          <w:szCs w:val="24"/>
        </w:rPr>
        <w:t xml:space="preserve"> If the candidate graduated residency within the past 3 years, one of these letters must be from the program </w:t>
      </w:r>
      <w:r w:rsidR="001D3659">
        <w:rPr>
          <w:rFonts w:eastAsia="Times New Roman" w:cs="Times New Roman"/>
          <w:szCs w:val="24"/>
        </w:rPr>
        <w:t>director</w:t>
      </w:r>
      <w:r w:rsidR="001D3659" w:rsidRPr="00802588">
        <w:rPr>
          <w:rFonts w:eastAsia="Times New Roman" w:cs="Times New Roman"/>
          <w:szCs w:val="24"/>
        </w:rPr>
        <w:t xml:space="preserve"> </w:t>
      </w:r>
      <w:r w:rsidR="001D3659">
        <w:rPr>
          <w:rFonts w:eastAsia="Times New Roman" w:cs="Times New Roman"/>
          <w:szCs w:val="24"/>
        </w:rPr>
        <w:t>of</w:t>
      </w:r>
      <w:r w:rsidR="00D70C58">
        <w:rPr>
          <w:rFonts w:eastAsia="Times New Roman" w:cs="Times New Roman"/>
          <w:szCs w:val="24"/>
        </w:rPr>
        <w:t xml:space="preserve"> the program that the candidate received their training. </w:t>
      </w:r>
    </w:p>
    <w:p w14:paraId="2528B903" w14:textId="25F567AB" w:rsidR="00AC10B5" w:rsidRDefault="00AC10B5" w:rsidP="00BB4EF1">
      <w:pPr>
        <w:pStyle w:val="NoSpacing"/>
        <w:numPr>
          <w:ilvl w:val="0"/>
          <w:numId w:val="22"/>
        </w:num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Applicants must have an evaluation of their performance by a Clinical Competency Committee within 12 weeks of matriculation.</w:t>
      </w:r>
    </w:p>
    <w:p w14:paraId="421EE021" w14:textId="77777777" w:rsidR="00BB4EF1" w:rsidRPr="00BB4EF1" w:rsidRDefault="00BB4EF1" w:rsidP="00BB4EF1">
      <w:pPr>
        <w:pStyle w:val="NoSpacing"/>
        <w:ind w:left="720"/>
        <w:rPr>
          <w:rFonts w:eastAsia="Times New Roman" w:cs="Times New Roman"/>
          <w:szCs w:val="24"/>
        </w:rPr>
      </w:pPr>
    </w:p>
    <w:p w14:paraId="7D19F713" w14:textId="6E976C33" w:rsidR="00BB4EF1" w:rsidRPr="00BB4EF1" w:rsidRDefault="00BB4EF1" w:rsidP="00BB4EF1">
      <w:pPr>
        <w:pStyle w:val="NoSpacing"/>
        <w:rPr>
          <w:rFonts w:eastAsia="Times New Roman" w:cs="Times New Roman"/>
          <w:i/>
          <w:szCs w:val="24"/>
        </w:rPr>
      </w:pPr>
      <w:r w:rsidRPr="00BB4EF1">
        <w:rPr>
          <w:i/>
        </w:rPr>
        <w:t>Peers for OHSU GMEC purposes in this context is defined as individuals qualified to enter that specialty.</w:t>
      </w:r>
    </w:p>
    <w:p w14:paraId="398BCDF7" w14:textId="77777777" w:rsidR="004926B1" w:rsidRDefault="004926B1" w:rsidP="003F601C">
      <w:pPr>
        <w:pStyle w:val="NoSpacing"/>
        <w:rPr>
          <w:rFonts w:eastAsia="Times New Roman" w:cs="Times New Roman"/>
          <w:szCs w:val="24"/>
        </w:rPr>
      </w:pPr>
    </w:p>
    <w:p w14:paraId="436954D9" w14:textId="429D462B" w:rsidR="006B24CF" w:rsidRPr="00417141" w:rsidRDefault="004926B1" w:rsidP="006B24CF">
      <w:pPr>
        <w:pStyle w:val="NoSpacing"/>
      </w:pPr>
      <w:r>
        <w:t xml:space="preserve">All </w:t>
      </w:r>
      <w:r w:rsidR="006F0C4C">
        <w:t>house officers</w:t>
      </w:r>
      <w:r w:rsidR="006B24CF">
        <w:t xml:space="preserve"> must successfully pass a background check and drug screen.  Once selected, the </w:t>
      </w:r>
      <w:r w:rsidR="006F0C4C">
        <w:t>house officer</w:t>
      </w:r>
      <w:r w:rsidR="006B24CF">
        <w:t xml:space="preserve"> must adhere to </w:t>
      </w:r>
      <w:r w:rsidR="006B24CF" w:rsidRPr="004C44ED">
        <w:t xml:space="preserve">OHSU’s Medical Staff Bylaws and Rules and Regulations and comply with the policies and administrative procedures of OHSU and any hospital or facility to which the </w:t>
      </w:r>
      <w:r w:rsidR="006F0C4C">
        <w:t>house officer</w:t>
      </w:r>
      <w:r w:rsidR="006B24CF" w:rsidRPr="004C44ED">
        <w:t xml:space="preserve"> may be assigned</w:t>
      </w:r>
      <w:r w:rsidR="006B24CF">
        <w:t xml:space="preserve">. </w:t>
      </w:r>
      <w:r w:rsidR="006B24CF" w:rsidRPr="004C44ED">
        <w:t xml:space="preserve">The </w:t>
      </w:r>
      <w:r w:rsidR="006F0C4C">
        <w:t>house officer</w:t>
      </w:r>
      <w:r w:rsidR="006B24CF" w:rsidRPr="004C44ED">
        <w:t xml:space="preserve"> further agrees that he/she will adhere to the expectations and requirements of the OHSU GME USMLE/COMLEX policy</w:t>
      </w:r>
      <w:r w:rsidR="004411A1">
        <w:t xml:space="preserve"> (</w:t>
      </w:r>
      <w:r w:rsidR="00D9597F">
        <w:t>GME 33</w:t>
      </w:r>
      <w:r w:rsidR="004411A1">
        <w:t>)</w:t>
      </w:r>
      <w:r w:rsidR="006B24CF" w:rsidRPr="004C44ED">
        <w:t>, and that he/she acknowledges that a failure to meet these requirements may result in suspension or termination from the program.</w:t>
      </w:r>
    </w:p>
    <w:p w14:paraId="3AE8D3B0" w14:textId="77777777" w:rsidR="000A1B7E" w:rsidRDefault="000A1B7E" w:rsidP="000A1B7E">
      <w:pPr>
        <w:pStyle w:val="NoSpacing"/>
      </w:pPr>
    </w:p>
    <w:p w14:paraId="110DCC06" w14:textId="77777777" w:rsidR="00C035A3" w:rsidRPr="00DE7B05" w:rsidRDefault="00C035A3" w:rsidP="000A1B7E">
      <w:pPr>
        <w:pStyle w:val="NoSpacing"/>
      </w:pPr>
    </w:p>
    <w:p w14:paraId="5958C7C9" w14:textId="77777777" w:rsidR="00933257" w:rsidRPr="005D2B70" w:rsidRDefault="00933257" w:rsidP="00933257">
      <w:pPr>
        <w:pStyle w:val="NoSpacing"/>
        <w:rPr>
          <w:b/>
        </w:rPr>
      </w:pPr>
      <w:r w:rsidRPr="005D2B70">
        <w:rPr>
          <w:b/>
          <w:u w:val="single"/>
        </w:rPr>
        <w:t>P</w:t>
      </w:r>
      <w:r w:rsidR="00616277">
        <w:rPr>
          <w:b/>
          <w:u w:val="single"/>
        </w:rPr>
        <w:t>rocedure</w:t>
      </w:r>
      <w:r w:rsidRPr="005D2B70">
        <w:rPr>
          <w:b/>
          <w:u w:val="single"/>
        </w:rPr>
        <w:t xml:space="preserve"> Owner:</w:t>
      </w:r>
      <w:r w:rsidRPr="005D2B70">
        <w:rPr>
          <w:b/>
        </w:rPr>
        <w:t xml:space="preserve"> Graduate Medical Education Committee</w:t>
      </w:r>
    </w:p>
    <w:p w14:paraId="3DF56068" w14:textId="77777777" w:rsidR="00933257" w:rsidRPr="005D2B70" w:rsidRDefault="00933257" w:rsidP="00933257">
      <w:pPr>
        <w:pStyle w:val="NoSpacing"/>
        <w:rPr>
          <w:b/>
        </w:rPr>
      </w:pPr>
    </w:p>
    <w:p w14:paraId="09804F53" w14:textId="77777777" w:rsidR="008E37BF" w:rsidRPr="005D2B70" w:rsidRDefault="008E37BF" w:rsidP="008923C2">
      <w:pPr>
        <w:pStyle w:val="NoSpacing"/>
        <w:rPr>
          <w:b/>
        </w:rPr>
      </w:pPr>
      <w:r w:rsidRPr="005D2B70">
        <w:rPr>
          <w:b/>
          <w:u w:val="single"/>
        </w:rPr>
        <w:t>Amendment/Approving Committee</w:t>
      </w:r>
      <w:r w:rsidR="00F85EAF" w:rsidRPr="005D2B70">
        <w:rPr>
          <w:b/>
          <w:u w:val="single"/>
        </w:rPr>
        <w:t xml:space="preserve">: </w:t>
      </w:r>
      <w:r w:rsidR="00F85EAF" w:rsidRPr="005D2B70">
        <w:rPr>
          <w:b/>
        </w:rPr>
        <w:t xml:space="preserve">Graduate Medical Education Committee </w:t>
      </w:r>
    </w:p>
    <w:p w14:paraId="1A6FD8F4" w14:textId="77777777" w:rsidR="008E37BF" w:rsidRDefault="008E37BF" w:rsidP="008923C2">
      <w:pPr>
        <w:pStyle w:val="NoSpacing"/>
      </w:pPr>
    </w:p>
    <w:p w14:paraId="4FE2CC26" w14:textId="77777777" w:rsidR="008923C2" w:rsidRDefault="008923C2" w:rsidP="008923C2">
      <w:pPr>
        <w:pStyle w:val="NoSpacing"/>
        <w:rPr>
          <w:b/>
        </w:rPr>
      </w:pPr>
      <w:r w:rsidRPr="008923C2">
        <w:rPr>
          <w:b/>
        </w:rPr>
        <w:t>Additional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9"/>
        <w:gridCol w:w="4255"/>
        <w:gridCol w:w="3106"/>
      </w:tblGrid>
      <w:tr w:rsidR="008923C2" w:rsidRPr="00012170" w14:paraId="7F53FE27" w14:textId="77777777" w:rsidTr="00012170">
        <w:tc>
          <w:tcPr>
            <w:tcW w:w="1998" w:type="dxa"/>
          </w:tcPr>
          <w:p w14:paraId="4ABEC0E5" w14:textId="77777777" w:rsidR="008923C2" w:rsidRPr="00012170" w:rsidRDefault="008923C2" w:rsidP="00012170">
            <w:pPr>
              <w:pStyle w:val="NoSpacing"/>
              <w:jc w:val="center"/>
              <w:rPr>
                <w:b/>
              </w:rPr>
            </w:pPr>
            <w:r w:rsidRPr="00012170">
              <w:rPr>
                <w:b/>
              </w:rPr>
              <w:t>Form/Document</w:t>
            </w:r>
          </w:p>
        </w:tc>
        <w:tc>
          <w:tcPr>
            <w:tcW w:w="4386" w:type="dxa"/>
          </w:tcPr>
          <w:p w14:paraId="12FAEB09" w14:textId="77777777" w:rsidR="008923C2" w:rsidRPr="00012170" w:rsidRDefault="008923C2" w:rsidP="00012170">
            <w:pPr>
              <w:pStyle w:val="NoSpacing"/>
              <w:jc w:val="center"/>
              <w:rPr>
                <w:b/>
              </w:rPr>
            </w:pPr>
            <w:r w:rsidRPr="00012170">
              <w:rPr>
                <w:b/>
              </w:rPr>
              <w:t>Use</w:t>
            </w:r>
          </w:p>
        </w:tc>
        <w:tc>
          <w:tcPr>
            <w:tcW w:w="3192" w:type="dxa"/>
          </w:tcPr>
          <w:p w14:paraId="3F176394" w14:textId="77777777" w:rsidR="008923C2" w:rsidRPr="00012170" w:rsidRDefault="008923C2" w:rsidP="00012170">
            <w:pPr>
              <w:pStyle w:val="NoSpacing"/>
              <w:jc w:val="center"/>
              <w:rPr>
                <w:b/>
              </w:rPr>
            </w:pPr>
            <w:r w:rsidRPr="00012170">
              <w:rPr>
                <w:b/>
              </w:rPr>
              <w:t>Links</w:t>
            </w:r>
          </w:p>
        </w:tc>
      </w:tr>
      <w:tr w:rsidR="008923C2" w:rsidRPr="00E26831" w14:paraId="60727C06" w14:textId="77777777" w:rsidTr="00012170">
        <w:tc>
          <w:tcPr>
            <w:tcW w:w="1998" w:type="dxa"/>
          </w:tcPr>
          <w:p w14:paraId="544A12C1" w14:textId="77777777" w:rsidR="008923C2" w:rsidRPr="00E26831" w:rsidRDefault="008923C2" w:rsidP="008923C2">
            <w:pPr>
              <w:pStyle w:val="NoSpacing"/>
            </w:pPr>
          </w:p>
        </w:tc>
        <w:tc>
          <w:tcPr>
            <w:tcW w:w="4386" w:type="dxa"/>
          </w:tcPr>
          <w:p w14:paraId="38BE683B" w14:textId="77777777" w:rsidR="00243184" w:rsidRPr="00E26831" w:rsidRDefault="00243184" w:rsidP="008923C2">
            <w:pPr>
              <w:pStyle w:val="NoSpacing"/>
            </w:pPr>
          </w:p>
        </w:tc>
        <w:tc>
          <w:tcPr>
            <w:tcW w:w="3192" w:type="dxa"/>
          </w:tcPr>
          <w:p w14:paraId="7BB16B68" w14:textId="77777777" w:rsidR="008923C2" w:rsidRPr="00E26831" w:rsidRDefault="008923C2" w:rsidP="008923C2">
            <w:pPr>
              <w:pStyle w:val="NoSpacing"/>
            </w:pPr>
          </w:p>
        </w:tc>
      </w:tr>
      <w:tr w:rsidR="008F0F72" w:rsidRPr="00E26831" w14:paraId="1AB29953" w14:textId="77777777" w:rsidTr="00012170">
        <w:tc>
          <w:tcPr>
            <w:tcW w:w="1998" w:type="dxa"/>
          </w:tcPr>
          <w:p w14:paraId="230CED24" w14:textId="77777777" w:rsidR="008F0F72" w:rsidRPr="00E26831" w:rsidRDefault="008F0F72" w:rsidP="00855C33">
            <w:pPr>
              <w:pStyle w:val="NoSpacing"/>
            </w:pPr>
          </w:p>
        </w:tc>
        <w:tc>
          <w:tcPr>
            <w:tcW w:w="4386" w:type="dxa"/>
          </w:tcPr>
          <w:p w14:paraId="41F23454" w14:textId="77777777" w:rsidR="008F0F72" w:rsidRPr="00E26831" w:rsidRDefault="008F0F72" w:rsidP="00855C33">
            <w:pPr>
              <w:pStyle w:val="NoSpacing"/>
            </w:pPr>
          </w:p>
        </w:tc>
        <w:tc>
          <w:tcPr>
            <w:tcW w:w="3192" w:type="dxa"/>
          </w:tcPr>
          <w:p w14:paraId="03CE417A" w14:textId="77777777" w:rsidR="008F0F72" w:rsidRPr="00E26831" w:rsidRDefault="008F0F72" w:rsidP="00855C33">
            <w:pPr>
              <w:pStyle w:val="NoSpacing"/>
            </w:pPr>
          </w:p>
        </w:tc>
      </w:tr>
      <w:tr w:rsidR="008923C2" w:rsidRPr="00E26831" w14:paraId="158304D5" w14:textId="77777777" w:rsidTr="00012170">
        <w:tc>
          <w:tcPr>
            <w:tcW w:w="1998" w:type="dxa"/>
          </w:tcPr>
          <w:p w14:paraId="50B0BAE0" w14:textId="77777777" w:rsidR="008923C2" w:rsidRPr="00E26831" w:rsidRDefault="008923C2" w:rsidP="008923C2">
            <w:pPr>
              <w:pStyle w:val="NoSpacing"/>
            </w:pPr>
          </w:p>
        </w:tc>
        <w:tc>
          <w:tcPr>
            <w:tcW w:w="4386" w:type="dxa"/>
          </w:tcPr>
          <w:p w14:paraId="26FE0648" w14:textId="77777777" w:rsidR="008923C2" w:rsidRPr="00E26831" w:rsidRDefault="008923C2" w:rsidP="008923C2">
            <w:pPr>
              <w:pStyle w:val="NoSpacing"/>
            </w:pPr>
          </w:p>
        </w:tc>
        <w:tc>
          <w:tcPr>
            <w:tcW w:w="3192" w:type="dxa"/>
          </w:tcPr>
          <w:p w14:paraId="7A43C900" w14:textId="77777777" w:rsidR="008923C2" w:rsidRPr="00E26831" w:rsidRDefault="008923C2" w:rsidP="008923C2">
            <w:pPr>
              <w:pStyle w:val="NoSpacing"/>
            </w:pPr>
          </w:p>
        </w:tc>
      </w:tr>
    </w:tbl>
    <w:p w14:paraId="5E5D0E5C" w14:textId="77777777" w:rsidR="008E37BF" w:rsidRDefault="008E37BF" w:rsidP="008E37BF">
      <w:pPr>
        <w:pStyle w:val="NoSpacing"/>
        <w:rPr>
          <w:b/>
        </w:rPr>
      </w:pPr>
    </w:p>
    <w:p w14:paraId="32FCB4FE" w14:textId="77777777" w:rsidR="008E37BF" w:rsidRPr="00BD6E16" w:rsidRDefault="008E37BF" w:rsidP="008E37BF">
      <w:pPr>
        <w:pStyle w:val="NoSpacing"/>
        <w:rPr>
          <w:b/>
        </w:rPr>
      </w:pPr>
      <w:r>
        <w:rPr>
          <w:b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710"/>
        <w:gridCol w:w="1980"/>
        <w:gridCol w:w="4405"/>
      </w:tblGrid>
      <w:tr w:rsidR="008E37BF" w:rsidRPr="00BD6E16" w14:paraId="7928A63B" w14:textId="77777777" w:rsidTr="001D3659">
        <w:tc>
          <w:tcPr>
            <w:tcW w:w="1255" w:type="dxa"/>
          </w:tcPr>
          <w:p w14:paraId="23B83863" w14:textId="77777777" w:rsidR="008E37BF" w:rsidRPr="00BD6E16" w:rsidRDefault="008E37BF" w:rsidP="00CF6298">
            <w:pPr>
              <w:tabs>
                <w:tab w:val="left" w:pos="200"/>
                <w:tab w:val="center" w:pos="1089"/>
              </w:tabs>
              <w:jc w:val="center"/>
              <w:rPr>
                <w:b/>
              </w:rPr>
            </w:pPr>
            <w:r w:rsidRPr="00BD6E16">
              <w:rPr>
                <w:b/>
              </w:rPr>
              <w:t>Version</w:t>
            </w:r>
          </w:p>
        </w:tc>
        <w:tc>
          <w:tcPr>
            <w:tcW w:w="1710" w:type="dxa"/>
          </w:tcPr>
          <w:p w14:paraId="6D57E5B6" w14:textId="77777777" w:rsidR="008E37BF" w:rsidRPr="00BD6E16" w:rsidRDefault="008E37BF" w:rsidP="00CF6298">
            <w:pPr>
              <w:jc w:val="center"/>
              <w:rPr>
                <w:b/>
              </w:rPr>
            </w:pPr>
            <w:r w:rsidRPr="00BD6E16">
              <w:rPr>
                <w:b/>
              </w:rPr>
              <w:t>Effective Date</w:t>
            </w:r>
          </w:p>
        </w:tc>
        <w:tc>
          <w:tcPr>
            <w:tcW w:w="1980" w:type="dxa"/>
          </w:tcPr>
          <w:p w14:paraId="60145659" w14:textId="77777777" w:rsidR="008E37BF" w:rsidRPr="00BD6E16" w:rsidRDefault="008E37BF" w:rsidP="00CF6298">
            <w:pPr>
              <w:jc w:val="center"/>
              <w:rPr>
                <w:b/>
              </w:rPr>
            </w:pPr>
            <w:r w:rsidRPr="00BD6E16">
              <w:rPr>
                <w:b/>
              </w:rPr>
              <w:t>Author</w:t>
            </w:r>
          </w:p>
        </w:tc>
        <w:tc>
          <w:tcPr>
            <w:tcW w:w="4405" w:type="dxa"/>
          </w:tcPr>
          <w:p w14:paraId="07418F71" w14:textId="77777777" w:rsidR="008E37BF" w:rsidRPr="00BD6E16" w:rsidRDefault="008E37BF" w:rsidP="00CF6298">
            <w:pPr>
              <w:jc w:val="center"/>
              <w:rPr>
                <w:b/>
              </w:rPr>
            </w:pPr>
            <w:r w:rsidRPr="00BD6E16">
              <w:rPr>
                <w:b/>
              </w:rPr>
              <w:t>Description of Change</w:t>
            </w:r>
          </w:p>
        </w:tc>
      </w:tr>
      <w:tr w:rsidR="008E37BF" w14:paraId="52E01F53" w14:textId="77777777" w:rsidTr="001D3659">
        <w:tc>
          <w:tcPr>
            <w:tcW w:w="1255" w:type="dxa"/>
          </w:tcPr>
          <w:p w14:paraId="277E30E1" w14:textId="77777777" w:rsidR="008E37BF" w:rsidRDefault="00F85EAF" w:rsidP="00CF6298">
            <w:r>
              <w:t>1</w:t>
            </w:r>
          </w:p>
        </w:tc>
        <w:tc>
          <w:tcPr>
            <w:tcW w:w="1710" w:type="dxa"/>
          </w:tcPr>
          <w:p w14:paraId="2F25DC90" w14:textId="03DC50DE" w:rsidR="008E37BF" w:rsidRDefault="008E37BF" w:rsidP="00F35F1F"/>
        </w:tc>
        <w:tc>
          <w:tcPr>
            <w:tcW w:w="1980" w:type="dxa"/>
          </w:tcPr>
          <w:p w14:paraId="5A8B5C53" w14:textId="77777777" w:rsidR="008E37BF" w:rsidRDefault="008E37BF" w:rsidP="00CF6298"/>
        </w:tc>
        <w:tc>
          <w:tcPr>
            <w:tcW w:w="4405" w:type="dxa"/>
          </w:tcPr>
          <w:p w14:paraId="2F61B817" w14:textId="77777777" w:rsidR="008E37BF" w:rsidRDefault="00F85EAF" w:rsidP="00CF6298">
            <w:r>
              <w:t>Original</w:t>
            </w:r>
          </w:p>
        </w:tc>
      </w:tr>
      <w:tr w:rsidR="008E37BF" w14:paraId="1B773261" w14:textId="77777777" w:rsidTr="001D3659">
        <w:tc>
          <w:tcPr>
            <w:tcW w:w="1255" w:type="dxa"/>
          </w:tcPr>
          <w:p w14:paraId="7B1E8C3D" w14:textId="526B3922" w:rsidR="008E37BF" w:rsidRDefault="00686623" w:rsidP="00CF6298">
            <w:r>
              <w:t>2</w:t>
            </w:r>
          </w:p>
        </w:tc>
        <w:tc>
          <w:tcPr>
            <w:tcW w:w="1710" w:type="dxa"/>
          </w:tcPr>
          <w:p w14:paraId="5DF6FF3D" w14:textId="40EE4197" w:rsidR="008E37BF" w:rsidRDefault="00686623" w:rsidP="00CF6298">
            <w:r>
              <w:t>9/2015</w:t>
            </w:r>
          </w:p>
        </w:tc>
        <w:tc>
          <w:tcPr>
            <w:tcW w:w="1980" w:type="dxa"/>
          </w:tcPr>
          <w:p w14:paraId="67AAA365" w14:textId="36192CFD" w:rsidR="008E37BF" w:rsidRDefault="00686623" w:rsidP="00CF6298">
            <w:r>
              <w:t>GMEC</w:t>
            </w:r>
          </w:p>
        </w:tc>
        <w:tc>
          <w:tcPr>
            <w:tcW w:w="4405" w:type="dxa"/>
          </w:tcPr>
          <w:p w14:paraId="184B4A89" w14:textId="78E5D2E4" w:rsidR="008E37BF" w:rsidRDefault="00686623" w:rsidP="00CF6298">
            <w:r>
              <w:t>Revision</w:t>
            </w:r>
          </w:p>
        </w:tc>
      </w:tr>
      <w:tr w:rsidR="001D3659" w14:paraId="3E14656F" w14:textId="77777777" w:rsidTr="001D3659">
        <w:tc>
          <w:tcPr>
            <w:tcW w:w="1255" w:type="dxa"/>
          </w:tcPr>
          <w:p w14:paraId="55A714B7" w14:textId="2F842F30" w:rsidR="001D3659" w:rsidRDefault="001D3659" w:rsidP="00CF6298">
            <w:r>
              <w:t>3</w:t>
            </w:r>
          </w:p>
        </w:tc>
        <w:tc>
          <w:tcPr>
            <w:tcW w:w="1710" w:type="dxa"/>
          </w:tcPr>
          <w:p w14:paraId="05D2A440" w14:textId="27B64644" w:rsidR="001D3659" w:rsidRDefault="001D3659" w:rsidP="00CF6298">
            <w:r>
              <w:t>1/18/2024</w:t>
            </w:r>
          </w:p>
        </w:tc>
        <w:tc>
          <w:tcPr>
            <w:tcW w:w="1980" w:type="dxa"/>
          </w:tcPr>
          <w:p w14:paraId="7CF3D0B6" w14:textId="1809EFD9" w:rsidR="001D3659" w:rsidRDefault="001D3659" w:rsidP="00CF6298">
            <w:r>
              <w:t>GMEC</w:t>
            </w:r>
          </w:p>
        </w:tc>
        <w:tc>
          <w:tcPr>
            <w:tcW w:w="4405" w:type="dxa"/>
          </w:tcPr>
          <w:p w14:paraId="309ACF6D" w14:textId="1C16F914" w:rsidR="001D3659" w:rsidRDefault="001D3659" w:rsidP="00CF6298">
            <w:r>
              <w:t>Clarified and corrected language. Added details about eligibility of exceptional candidates.</w:t>
            </w:r>
          </w:p>
        </w:tc>
      </w:tr>
    </w:tbl>
    <w:p w14:paraId="46D46717" w14:textId="77777777" w:rsidR="008E37BF" w:rsidRPr="008923C2" w:rsidRDefault="008E37BF">
      <w:pPr>
        <w:pStyle w:val="NoSpacing"/>
        <w:rPr>
          <w:b/>
        </w:rPr>
      </w:pPr>
    </w:p>
    <w:sectPr w:rsidR="008E37BF" w:rsidRPr="008923C2" w:rsidSect="00D9597F">
      <w:headerReference w:type="defaul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D7FC" w14:textId="77777777" w:rsidR="005203BF" w:rsidRDefault="005203BF" w:rsidP="00232532">
      <w:pPr>
        <w:spacing w:after="0" w:line="240" w:lineRule="auto"/>
      </w:pPr>
      <w:r>
        <w:separator/>
      </w:r>
    </w:p>
  </w:endnote>
  <w:endnote w:type="continuationSeparator" w:id="0">
    <w:p w14:paraId="707FA2EC" w14:textId="77777777" w:rsidR="005203BF" w:rsidRDefault="005203BF" w:rsidP="0023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5302" w14:textId="77777777" w:rsidR="005203BF" w:rsidRDefault="005203BF" w:rsidP="00232532">
      <w:pPr>
        <w:spacing w:after="0" w:line="240" w:lineRule="auto"/>
      </w:pPr>
      <w:r>
        <w:separator/>
      </w:r>
    </w:p>
  </w:footnote>
  <w:footnote w:type="continuationSeparator" w:id="0">
    <w:p w14:paraId="761424F5" w14:textId="77777777" w:rsidR="005203BF" w:rsidRDefault="005203BF" w:rsidP="0023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B67B" w14:textId="77777777" w:rsidR="00232532" w:rsidRDefault="00232532">
    <w:pPr>
      <w:pStyle w:val="Header"/>
    </w:pPr>
  </w:p>
  <w:p w14:paraId="6D156685" w14:textId="77777777" w:rsidR="00B37282" w:rsidRPr="00B37282" w:rsidRDefault="00012170" w:rsidP="00B37282">
    <w:pPr>
      <w:pStyle w:val="CM3"/>
      <w:spacing w:after="0"/>
      <w:jc w:val="center"/>
      <w:rPr>
        <w:sz w:val="18"/>
        <w:szCs w:val="18"/>
      </w:rPr>
    </w:pPr>
    <w:r w:rsidRPr="00012170">
      <w:rPr>
        <w:rFonts w:ascii="Noto Serif" w:hAnsi="Noto Serif"/>
        <w:b/>
        <w:noProof/>
        <w:color w:val="141313"/>
        <w:sz w:val="20"/>
        <w:szCs w:val="20"/>
      </w:rPr>
      <w:drawing>
        <wp:anchor distT="0" distB="0" distL="114300" distR="114300" simplePos="0" relativeHeight="251657216" behindDoc="0" locked="1" layoutInCell="1" allowOverlap="0" wp14:anchorId="56FF94F5" wp14:editId="26025D76">
          <wp:simplePos x="0" y="0"/>
          <wp:positionH relativeFrom="column">
            <wp:posOffset>19050</wp:posOffset>
          </wp:positionH>
          <wp:positionV relativeFrom="paragraph">
            <wp:posOffset>-513715</wp:posOffset>
          </wp:positionV>
          <wp:extent cx="419100" cy="71691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SU-4C-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170">
      <w:rPr>
        <w:b/>
        <w:sz w:val="21"/>
        <w:szCs w:val="21"/>
      </w:rPr>
      <w:t>School of Medicine Polic</w:t>
    </w:r>
    <w:r w:rsidR="00B37282">
      <w:rPr>
        <w:b/>
        <w:sz w:val="21"/>
        <w:szCs w:val="21"/>
      </w:rPr>
      <w:t>y</w:t>
    </w:r>
  </w:p>
  <w:p w14:paraId="690AF459" w14:textId="77777777" w:rsidR="0084006A" w:rsidRPr="0084006A" w:rsidRDefault="00B37282" w:rsidP="0084006A">
    <w:pPr>
      <w:pStyle w:val="CM3"/>
      <w:spacing w:after="0"/>
      <w:jc w:val="right"/>
      <w:rPr>
        <w:sz w:val="18"/>
        <w:szCs w:val="18"/>
      </w:rPr>
    </w:pPr>
    <w:r w:rsidRPr="00B37282">
      <w:rPr>
        <w:sz w:val="18"/>
        <w:szCs w:val="18"/>
      </w:rPr>
      <w:t>Policy Number:</w:t>
    </w:r>
    <w:r w:rsidR="000A1B7E">
      <w:rPr>
        <w:sz w:val="18"/>
        <w:szCs w:val="18"/>
      </w:rPr>
      <w:t xml:space="preserve"> GME 24</w:t>
    </w:r>
  </w:p>
  <w:p w14:paraId="644CFA3C" w14:textId="27930552" w:rsidR="007D3163" w:rsidRDefault="00B37282" w:rsidP="00F35F1F">
    <w:pPr>
      <w:pStyle w:val="CM3"/>
      <w:spacing w:after="0"/>
      <w:jc w:val="right"/>
      <w:rPr>
        <w:sz w:val="18"/>
        <w:szCs w:val="18"/>
      </w:rPr>
    </w:pPr>
    <w:r w:rsidRPr="00B37282">
      <w:rPr>
        <w:sz w:val="18"/>
        <w:szCs w:val="18"/>
      </w:rPr>
      <w:t>Effective Date:</w:t>
    </w:r>
    <w:r w:rsidR="00F35F1F">
      <w:rPr>
        <w:sz w:val="18"/>
        <w:szCs w:val="18"/>
      </w:rPr>
      <w:t xml:space="preserve"> </w:t>
    </w:r>
    <w:r w:rsidR="001D3659">
      <w:rPr>
        <w:sz w:val="18"/>
        <w:szCs w:val="18"/>
      </w:rPr>
      <w:t>1/18/2024</w:t>
    </w:r>
  </w:p>
  <w:p w14:paraId="41271692" w14:textId="77777777" w:rsidR="00A31AF5" w:rsidRPr="00A31AF5" w:rsidRDefault="00A31AF5" w:rsidP="00A31A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37B"/>
    <w:multiLevelType w:val="hybridMultilevel"/>
    <w:tmpl w:val="5CF0DF78"/>
    <w:lvl w:ilvl="0" w:tplc="E75E9F8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3B29"/>
    <w:multiLevelType w:val="hybridMultilevel"/>
    <w:tmpl w:val="85F4568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437481F"/>
    <w:multiLevelType w:val="hybridMultilevel"/>
    <w:tmpl w:val="10AC0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F4574"/>
    <w:multiLevelType w:val="hybridMultilevel"/>
    <w:tmpl w:val="5B264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060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B72E9"/>
    <w:multiLevelType w:val="hybridMultilevel"/>
    <w:tmpl w:val="6E4E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51B4F"/>
    <w:multiLevelType w:val="hybridMultilevel"/>
    <w:tmpl w:val="49440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A084F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83F3F"/>
    <w:multiLevelType w:val="hybridMultilevel"/>
    <w:tmpl w:val="3338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3112E"/>
    <w:multiLevelType w:val="hybridMultilevel"/>
    <w:tmpl w:val="A86CA234"/>
    <w:lvl w:ilvl="0" w:tplc="650A95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E7EDF"/>
    <w:multiLevelType w:val="hybridMultilevel"/>
    <w:tmpl w:val="2E946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F5D99"/>
    <w:multiLevelType w:val="hybridMultilevel"/>
    <w:tmpl w:val="8634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4101"/>
    <w:multiLevelType w:val="hybridMultilevel"/>
    <w:tmpl w:val="5C22FAE8"/>
    <w:lvl w:ilvl="0" w:tplc="E26607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E62C8AC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80D89"/>
    <w:multiLevelType w:val="hybridMultilevel"/>
    <w:tmpl w:val="F17C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0C8A"/>
    <w:multiLevelType w:val="hybridMultilevel"/>
    <w:tmpl w:val="974A8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1171F5"/>
    <w:multiLevelType w:val="hybridMultilevel"/>
    <w:tmpl w:val="D438E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73A2F"/>
    <w:multiLevelType w:val="hybridMultilevel"/>
    <w:tmpl w:val="11788538"/>
    <w:lvl w:ilvl="0" w:tplc="E26607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24374"/>
    <w:multiLevelType w:val="hybridMultilevel"/>
    <w:tmpl w:val="FB605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B203B"/>
    <w:multiLevelType w:val="hybridMultilevel"/>
    <w:tmpl w:val="6C7A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44156"/>
    <w:multiLevelType w:val="hybridMultilevel"/>
    <w:tmpl w:val="62EC4E7A"/>
    <w:lvl w:ilvl="0" w:tplc="E75E9F8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24853"/>
    <w:multiLevelType w:val="hybridMultilevel"/>
    <w:tmpl w:val="7BA02104"/>
    <w:lvl w:ilvl="0" w:tplc="E26607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8138F"/>
    <w:multiLevelType w:val="hybridMultilevel"/>
    <w:tmpl w:val="F5F4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54261"/>
    <w:multiLevelType w:val="hybridMultilevel"/>
    <w:tmpl w:val="5868F8DE"/>
    <w:lvl w:ilvl="0" w:tplc="E75E9F8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D4ECE"/>
    <w:multiLevelType w:val="hybridMultilevel"/>
    <w:tmpl w:val="0D083092"/>
    <w:lvl w:ilvl="0" w:tplc="E26607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4"/>
  </w:num>
  <w:num w:numId="5">
    <w:abstractNumId w:val="19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14"/>
  </w:num>
  <w:num w:numId="11">
    <w:abstractNumId w:val="21"/>
  </w:num>
  <w:num w:numId="12">
    <w:abstractNumId w:val="18"/>
  </w:num>
  <w:num w:numId="13">
    <w:abstractNumId w:val="11"/>
  </w:num>
  <w:num w:numId="14">
    <w:abstractNumId w:val="20"/>
  </w:num>
  <w:num w:numId="15">
    <w:abstractNumId w:val="17"/>
  </w:num>
  <w:num w:numId="16">
    <w:abstractNumId w:val="0"/>
  </w:num>
  <w:num w:numId="17">
    <w:abstractNumId w:val="5"/>
  </w:num>
  <w:num w:numId="18">
    <w:abstractNumId w:val="15"/>
  </w:num>
  <w:num w:numId="19">
    <w:abstractNumId w:val="10"/>
  </w:num>
  <w:num w:numId="20">
    <w:abstractNumId w:val="13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32"/>
    <w:rsid w:val="00005FFF"/>
    <w:rsid w:val="00012170"/>
    <w:rsid w:val="00041C23"/>
    <w:rsid w:val="00042409"/>
    <w:rsid w:val="00042C60"/>
    <w:rsid w:val="00062BBC"/>
    <w:rsid w:val="00093D3F"/>
    <w:rsid w:val="000973AD"/>
    <w:rsid w:val="000A1B7E"/>
    <w:rsid w:val="000A60FD"/>
    <w:rsid w:val="001228CC"/>
    <w:rsid w:val="00134525"/>
    <w:rsid w:val="00147AF5"/>
    <w:rsid w:val="00173BAD"/>
    <w:rsid w:val="001A250A"/>
    <w:rsid w:val="001D3659"/>
    <w:rsid w:val="001E06D6"/>
    <w:rsid w:val="001F592C"/>
    <w:rsid w:val="00232532"/>
    <w:rsid w:val="00243184"/>
    <w:rsid w:val="00287EBE"/>
    <w:rsid w:val="00294DA3"/>
    <w:rsid w:val="002B4C32"/>
    <w:rsid w:val="002C1AA9"/>
    <w:rsid w:val="002C7205"/>
    <w:rsid w:val="00333105"/>
    <w:rsid w:val="00340681"/>
    <w:rsid w:val="003460C9"/>
    <w:rsid w:val="00346ECF"/>
    <w:rsid w:val="003A7964"/>
    <w:rsid w:val="003B4373"/>
    <w:rsid w:val="003F601C"/>
    <w:rsid w:val="00433A31"/>
    <w:rsid w:val="004411A1"/>
    <w:rsid w:val="00461030"/>
    <w:rsid w:val="00470894"/>
    <w:rsid w:val="004926B1"/>
    <w:rsid w:val="004A59C3"/>
    <w:rsid w:val="004C0421"/>
    <w:rsid w:val="004E7008"/>
    <w:rsid w:val="005012D8"/>
    <w:rsid w:val="00511934"/>
    <w:rsid w:val="005203BF"/>
    <w:rsid w:val="0052371E"/>
    <w:rsid w:val="00524BA6"/>
    <w:rsid w:val="00585E3A"/>
    <w:rsid w:val="005D2B70"/>
    <w:rsid w:val="005F4151"/>
    <w:rsid w:val="00610924"/>
    <w:rsid w:val="00616277"/>
    <w:rsid w:val="00624294"/>
    <w:rsid w:val="006535BA"/>
    <w:rsid w:val="0065752E"/>
    <w:rsid w:val="00665223"/>
    <w:rsid w:val="00674705"/>
    <w:rsid w:val="00676567"/>
    <w:rsid w:val="00684EDD"/>
    <w:rsid w:val="00686623"/>
    <w:rsid w:val="006902C4"/>
    <w:rsid w:val="006A455C"/>
    <w:rsid w:val="006B24CF"/>
    <w:rsid w:val="006C03A0"/>
    <w:rsid w:val="006F0C4C"/>
    <w:rsid w:val="006F0F6A"/>
    <w:rsid w:val="007028DC"/>
    <w:rsid w:val="00703D79"/>
    <w:rsid w:val="0071716B"/>
    <w:rsid w:val="007813FD"/>
    <w:rsid w:val="007B013E"/>
    <w:rsid w:val="007C3266"/>
    <w:rsid w:val="007C68D2"/>
    <w:rsid w:val="007D3163"/>
    <w:rsid w:val="007E0B9E"/>
    <w:rsid w:val="00802588"/>
    <w:rsid w:val="00811CED"/>
    <w:rsid w:val="00820AB8"/>
    <w:rsid w:val="00823E7A"/>
    <w:rsid w:val="0084006A"/>
    <w:rsid w:val="00891642"/>
    <w:rsid w:val="008923C2"/>
    <w:rsid w:val="008971CD"/>
    <w:rsid w:val="008B6B71"/>
    <w:rsid w:val="008C0BE0"/>
    <w:rsid w:val="008E37BF"/>
    <w:rsid w:val="008F0F72"/>
    <w:rsid w:val="008F73C2"/>
    <w:rsid w:val="00933209"/>
    <w:rsid w:val="00933257"/>
    <w:rsid w:val="00980011"/>
    <w:rsid w:val="00990263"/>
    <w:rsid w:val="009C486B"/>
    <w:rsid w:val="009E0F0E"/>
    <w:rsid w:val="009E5D1E"/>
    <w:rsid w:val="00A0683B"/>
    <w:rsid w:val="00A15759"/>
    <w:rsid w:val="00A15962"/>
    <w:rsid w:val="00A31AF5"/>
    <w:rsid w:val="00AC10B5"/>
    <w:rsid w:val="00B130BD"/>
    <w:rsid w:val="00B13640"/>
    <w:rsid w:val="00B37282"/>
    <w:rsid w:val="00B61CA4"/>
    <w:rsid w:val="00BB4EF1"/>
    <w:rsid w:val="00BD0EE8"/>
    <w:rsid w:val="00BD6E16"/>
    <w:rsid w:val="00BF0F01"/>
    <w:rsid w:val="00C035A3"/>
    <w:rsid w:val="00C1451A"/>
    <w:rsid w:val="00C2349D"/>
    <w:rsid w:val="00C5381F"/>
    <w:rsid w:val="00C60EE9"/>
    <w:rsid w:val="00CE62EE"/>
    <w:rsid w:val="00D115EF"/>
    <w:rsid w:val="00D2485F"/>
    <w:rsid w:val="00D3237F"/>
    <w:rsid w:val="00D602E2"/>
    <w:rsid w:val="00D70C58"/>
    <w:rsid w:val="00D84D5F"/>
    <w:rsid w:val="00D85D36"/>
    <w:rsid w:val="00D86579"/>
    <w:rsid w:val="00D906C1"/>
    <w:rsid w:val="00D9597F"/>
    <w:rsid w:val="00DC49E6"/>
    <w:rsid w:val="00DE7B05"/>
    <w:rsid w:val="00DF1EDA"/>
    <w:rsid w:val="00E07ED5"/>
    <w:rsid w:val="00E10BEB"/>
    <w:rsid w:val="00E13C01"/>
    <w:rsid w:val="00E26831"/>
    <w:rsid w:val="00E940FF"/>
    <w:rsid w:val="00EA6FDF"/>
    <w:rsid w:val="00EF6543"/>
    <w:rsid w:val="00F35F1F"/>
    <w:rsid w:val="00F5234D"/>
    <w:rsid w:val="00F70786"/>
    <w:rsid w:val="00F73F2F"/>
    <w:rsid w:val="00F7698F"/>
    <w:rsid w:val="00F85EAF"/>
    <w:rsid w:val="00FA41A4"/>
    <w:rsid w:val="00FE2009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1633E4"/>
  <w15:docId w15:val="{3289F78A-495B-4CEA-8518-67563D12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32"/>
  </w:style>
  <w:style w:type="paragraph" w:styleId="Footer">
    <w:name w:val="footer"/>
    <w:basedOn w:val="Normal"/>
    <w:link w:val="FooterChar"/>
    <w:uiPriority w:val="99"/>
    <w:unhideWhenUsed/>
    <w:rsid w:val="00232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532"/>
  </w:style>
  <w:style w:type="paragraph" w:styleId="BalloonText">
    <w:name w:val="Balloon Text"/>
    <w:basedOn w:val="Normal"/>
    <w:link w:val="BalloonTextChar"/>
    <w:uiPriority w:val="99"/>
    <w:semiHidden/>
    <w:unhideWhenUsed/>
    <w:rsid w:val="0023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32"/>
    <w:rPr>
      <w:rFonts w:ascii="Tahoma" w:hAnsi="Tahoma" w:cs="Tahoma"/>
      <w:sz w:val="16"/>
      <w:szCs w:val="16"/>
    </w:rPr>
  </w:style>
  <w:style w:type="paragraph" w:customStyle="1" w:styleId="CM3">
    <w:name w:val="CM3"/>
    <w:basedOn w:val="Normal"/>
    <w:next w:val="Normal"/>
    <w:rsid w:val="00232532"/>
    <w:pPr>
      <w:widowControl w:val="0"/>
      <w:autoSpaceDE w:val="0"/>
      <w:autoSpaceDN w:val="0"/>
      <w:adjustRightInd w:val="0"/>
      <w:spacing w:after="168" w:line="240" w:lineRule="auto"/>
    </w:pPr>
    <w:rPr>
      <w:rFonts w:ascii="Myriad Pro" w:eastAsia="Times New Roman" w:hAnsi="Myriad Pro" w:cs="Myriad Pro"/>
      <w:sz w:val="24"/>
      <w:szCs w:val="24"/>
    </w:rPr>
  </w:style>
  <w:style w:type="table" w:styleId="TableGrid">
    <w:name w:val="Table Grid"/>
    <w:basedOn w:val="TableNormal"/>
    <w:uiPriority w:val="59"/>
    <w:rsid w:val="00BD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6E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EB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7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42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C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C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C6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6B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325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E7B05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E7B05"/>
    <w:rPr>
      <w:rFonts w:ascii="CG Times" w:eastAsia="Times New Roman" w:hAnsi="CG Time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E5AAB070FCF4493FEFAF6347FA88F" ma:contentTypeVersion="4" ma:contentTypeDescription="Create a new document." ma:contentTypeScope="" ma:versionID="e7771b3664088c370a1d2ae22baadc38">
  <xsd:schema xmlns:xsd="http://www.w3.org/2001/XMLSchema" xmlns:xs="http://www.w3.org/2001/XMLSchema" xmlns:p="http://schemas.microsoft.com/office/2006/metadata/properties" xmlns:ns2="3501531b-9034-4fb8-902d-ba089a85954d" targetNamespace="http://schemas.microsoft.com/office/2006/metadata/properties" ma:root="true" ma:fieldsID="c1b15db12286d5483428cf2df999e5c0" ns2:_="">
    <xsd:import namespace="3501531b-9034-4fb8-902d-ba089a859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1531b-9034-4fb8-902d-ba089a859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DB8D85-FF34-4889-A57C-4C4B03B7D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1531b-9034-4fb8-902d-ba089a859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9C944-17CF-4E8D-87F3-A2E3D78AD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20ADC-7DE1-468C-9FE9-B0BDED68A1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4101</Characters>
  <Application>Microsoft Office Word</Application>
  <DocSecurity>0</DocSecurity>
  <Lines>241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Villagomez</dc:creator>
  <cp:lastModifiedBy>Christine Flores</cp:lastModifiedBy>
  <cp:revision>3</cp:revision>
  <cp:lastPrinted>2018-06-20T20:43:00Z</cp:lastPrinted>
  <dcterms:created xsi:type="dcterms:W3CDTF">2024-01-26T07:35:00Z</dcterms:created>
  <dcterms:modified xsi:type="dcterms:W3CDTF">2024-01-26T21:49:00Z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0x010100A24E5AAB070FCF4493FEFAF6347FA88F</vt:lpwstr>
  </property>
  <property fmtid="{D5CDD505-2E9C-101B-9397-08002B2CF9AE}" pid="3" name="GrammarlyDocumentId">
    <vt:lpwstr>3f122c930d89605af61e9ff1923dad0b757808205b6a50ab8e160a541c145060</vt:lpwstr>
  </property>
</Properties>
</file>